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6E09" w14:textId="4EC0E521" w:rsidR="00951A8E" w:rsidRDefault="00F720AC">
      <w:pPr>
        <w:pStyle w:val="Heading1"/>
        <w:spacing w:before="82" w:line="439" w:lineRule="auto"/>
        <w:ind w:right="2861"/>
        <w:jc w:val="left"/>
      </w:pPr>
      <w:r>
        <w:rPr>
          <w:lang w:val="cy-GB"/>
        </w:rPr>
        <w:t>Datganiad am Weithredu Polisi Ymgysylltu Cynllun</w:t>
      </w:r>
      <w:r w:rsidR="007152D6">
        <w:rPr>
          <w:lang w:val="cy-GB"/>
        </w:rPr>
        <w:t xml:space="preserve"> P</w:t>
      </w:r>
      <w:r>
        <w:rPr>
          <w:lang w:val="cy-GB"/>
        </w:rPr>
        <w:t>ensiwn Prifysgol Abertawe (y "Cynllun")</w:t>
      </w:r>
    </w:p>
    <w:p w14:paraId="5963FF72" w14:textId="77777777" w:rsidR="00951A8E" w:rsidRDefault="00F720AC">
      <w:pPr>
        <w:pStyle w:val="BodyText"/>
        <w:ind w:left="120"/>
      </w:pPr>
      <w:r>
        <w:rPr>
          <w:lang w:val="cy-GB"/>
        </w:rPr>
        <w:t xml:space="preserve">Mae'r Datganiad am Weithredu'r Polisi Ymgysylltu wedi cael ei lunio gan yr Ymddiriedolwyr ac mae'n berthnasol i flwyddyn 1 Awst 2021 tan 31 Gorffennaf 2022 y </w:t>
      </w:r>
      <w:r>
        <w:rPr>
          <w:lang w:val="cy-GB"/>
        </w:rPr>
        <w:t>Cynllun.</w:t>
      </w:r>
    </w:p>
    <w:p w14:paraId="6C4BB0BF" w14:textId="77777777" w:rsidR="00951A8E" w:rsidRDefault="00951A8E">
      <w:pPr>
        <w:pStyle w:val="BodyText"/>
        <w:spacing w:before="1"/>
      </w:pPr>
    </w:p>
    <w:p w14:paraId="2EC884A7" w14:textId="77777777" w:rsidR="00951A8E" w:rsidRDefault="00F720AC">
      <w:pPr>
        <w:pStyle w:val="Heading2"/>
        <w:ind w:left="119"/>
      </w:pPr>
      <w:r>
        <w:rPr>
          <w:spacing w:val="-2"/>
          <w:lang w:val="cy-GB"/>
        </w:rPr>
        <w:t>Rhagarweiniad</w:t>
      </w:r>
    </w:p>
    <w:p w14:paraId="5D95B87B" w14:textId="77777777" w:rsidR="00951A8E" w:rsidRDefault="00951A8E">
      <w:pPr>
        <w:pStyle w:val="BodyText"/>
        <w:spacing w:before="1"/>
        <w:rPr>
          <w:b/>
        </w:rPr>
      </w:pPr>
    </w:p>
    <w:p w14:paraId="53D34144" w14:textId="77777777" w:rsidR="00951A8E" w:rsidRDefault="00F720AC" w:rsidP="007152D6">
      <w:pPr>
        <w:pStyle w:val="BodyText"/>
        <w:ind w:left="119" w:right="122"/>
      </w:pPr>
      <w:r>
        <w:rPr>
          <w:lang w:val="cy-GB"/>
        </w:rPr>
        <w:t xml:space="preserve">Ar 6 Mehefin 2019, cyhoeddodd y Llywodraeth Reoliadau Cynlluniau Pensiwn Galwedigaethol (Buddsoddi a Datgelu) (Diwygiad) 2019 (y "Rheoliadau"). Mae'r Rheoliadau'n rhoi dyletswydd ar yr Ymddiriedolwyr i gyhoeddi datganiad blynyddol </w:t>
      </w:r>
      <w:r>
        <w:rPr>
          <w:lang w:val="cy-GB"/>
        </w:rPr>
        <w:t>sy'n gwneud y canlynol:</w:t>
      </w:r>
    </w:p>
    <w:p w14:paraId="6A7BADD5" w14:textId="77777777" w:rsidR="00951A8E" w:rsidRDefault="00951A8E">
      <w:pPr>
        <w:pStyle w:val="BodyText"/>
        <w:spacing w:before="11"/>
        <w:rPr>
          <w:sz w:val="19"/>
        </w:rPr>
      </w:pPr>
    </w:p>
    <w:p w14:paraId="25C8C64E" w14:textId="77777777" w:rsidR="00951A8E" w:rsidRDefault="00F720AC">
      <w:pPr>
        <w:pStyle w:val="ListParagraph"/>
        <w:numPr>
          <w:ilvl w:val="0"/>
          <w:numId w:val="7"/>
        </w:numPr>
        <w:tabs>
          <w:tab w:val="left" w:pos="547"/>
        </w:tabs>
        <w:ind w:right="117"/>
        <w:rPr>
          <w:sz w:val="20"/>
        </w:rPr>
      </w:pPr>
      <w:r>
        <w:rPr>
          <w:sz w:val="20"/>
          <w:lang w:val="cy-GB"/>
        </w:rPr>
        <w:t xml:space="preserve">Esbonio sut ac i ba raddau y mae'r Ymddiriedolwyr wedi dilyn eu polisi ymgysylltu a amlinellir yn y Datganiad o Egwyddorion Buddsoddi. </w:t>
      </w:r>
    </w:p>
    <w:p w14:paraId="226C76D4" w14:textId="77777777" w:rsidR="00951A8E" w:rsidRDefault="00951A8E">
      <w:pPr>
        <w:pStyle w:val="BodyText"/>
        <w:spacing w:before="10"/>
        <w:rPr>
          <w:sz w:val="19"/>
        </w:rPr>
      </w:pPr>
    </w:p>
    <w:p w14:paraId="36176A59" w14:textId="77777777" w:rsidR="00951A8E" w:rsidRDefault="00F720AC">
      <w:pPr>
        <w:pStyle w:val="ListParagraph"/>
        <w:numPr>
          <w:ilvl w:val="0"/>
          <w:numId w:val="7"/>
        </w:numPr>
        <w:tabs>
          <w:tab w:val="left" w:pos="547"/>
        </w:tabs>
        <w:ind w:right="122"/>
        <w:rPr>
          <w:sz w:val="20"/>
        </w:rPr>
      </w:pPr>
      <w:r>
        <w:rPr>
          <w:sz w:val="20"/>
          <w:lang w:val="cy-GB"/>
        </w:rPr>
        <w:t>Disgrifio ymddygiad pleidleisio gan yr Ymddiriedolwyr ac ar eu rhan (gan gynnwys y pleidleisia</w:t>
      </w:r>
      <w:r>
        <w:rPr>
          <w:sz w:val="20"/>
          <w:lang w:val="cy-GB"/>
        </w:rPr>
        <w:t>u mwyaf arwyddocaol a fwriwyd) yn ystod blwyddyn y Cynllun a datgan unrhyw ddefnydd a wnaed o wasanaethau pleidleisio drwy ddirprwy gan ddarparwr trydydd parti.</w:t>
      </w:r>
    </w:p>
    <w:p w14:paraId="3B57AF2D" w14:textId="77777777" w:rsidR="00951A8E" w:rsidRDefault="00951A8E">
      <w:pPr>
        <w:pStyle w:val="BodyText"/>
        <w:rPr>
          <w:sz w:val="22"/>
        </w:rPr>
      </w:pPr>
    </w:p>
    <w:p w14:paraId="2DE818D5" w14:textId="77777777" w:rsidR="00951A8E" w:rsidRDefault="00951A8E">
      <w:pPr>
        <w:pStyle w:val="BodyText"/>
        <w:spacing w:before="2"/>
        <w:rPr>
          <w:sz w:val="18"/>
        </w:rPr>
      </w:pPr>
    </w:p>
    <w:p w14:paraId="3C0D61CB" w14:textId="77777777" w:rsidR="00951A8E" w:rsidRDefault="00F720AC">
      <w:pPr>
        <w:pStyle w:val="Heading2"/>
        <w:ind w:left="119"/>
        <w:jc w:val="both"/>
      </w:pPr>
      <w:r>
        <w:rPr>
          <w:lang w:val="cy-GB"/>
        </w:rPr>
        <w:t>Polisi Stiwardiaeth y Cynllun</w:t>
      </w:r>
    </w:p>
    <w:p w14:paraId="686D8E59" w14:textId="77777777" w:rsidR="00951A8E" w:rsidRDefault="00951A8E">
      <w:pPr>
        <w:pStyle w:val="BodyText"/>
        <w:spacing w:before="10"/>
        <w:rPr>
          <w:b/>
          <w:sz w:val="19"/>
        </w:rPr>
      </w:pPr>
    </w:p>
    <w:p w14:paraId="4DFAD1DC" w14:textId="77777777" w:rsidR="00951A8E" w:rsidRDefault="00F720AC" w:rsidP="007152D6">
      <w:pPr>
        <w:pStyle w:val="BodyText"/>
        <w:spacing w:before="1"/>
        <w:ind w:left="118" w:right="119"/>
      </w:pPr>
      <w:r>
        <w:rPr>
          <w:lang w:val="cy-GB"/>
        </w:rPr>
        <w:t>Mae'r pwyntiau bwled isod yn crynhoi polisi stiwardiaeth y Cyn</w:t>
      </w:r>
      <w:r>
        <w:rPr>
          <w:lang w:val="cy-GB"/>
        </w:rPr>
        <w:t>llun a oedd mewn grym am y rhan fwyaf o flwyddyn y Cynllun tan 31 Gorffennaf 2022.</w:t>
      </w:r>
    </w:p>
    <w:p w14:paraId="2A51C37C" w14:textId="77777777" w:rsidR="00951A8E" w:rsidRDefault="00951A8E">
      <w:pPr>
        <w:pStyle w:val="BodyText"/>
        <w:spacing w:before="1"/>
      </w:pPr>
    </w:p>
    <w:p w14:paraId="1DC5285E" w14:textId="77777777" w:rsidR="00951A8E" w:rsidRDefault="00F720AC" w:rsidP="007152D6">
      <w:pPr>
        <w:pStyle w:val="BodyText"/>
        <w:ind w:left="118" w:right="123"/>
      </w:pPr>
      <w:r>
        <w:rPr>
          <w:lang w:val="cy-GB"/>
        </w:rPr>
        <w:t xml:space="preserve">Mae'r Datganiad o Egwyddorion Buddsoddi llawn ar gael yn </w:t>
      </w:r>
      <w:r>
        <w:rPr>
          <w:color w:val="4471C4"/>
          <w:lang w:val="cy-GB"/>
        </w:rPr>
        <w:t>https</w:t>
      </w:r>
      <w:hyperlink r:id="rId5" w:history="1">
        <w:r>
          <w:rPr>
            <w:color w:val="4471C4"/>
            <w:lang w:val="cy-GB"/>
          </w:rPr>
          <w:t>://w</w:t>
        </w:r>
      </w:hyperlink>
      <w:r>
        <w:rPr>
          <w:color w:val="4471C4"/>
          <w:lang w:val="cy-GB"/>
        </w:rPr>
        <w:t>ww</w:t>
      </w:r>
      <w:hyperlink r:id="rId6" w:history="1">
        <w:r>
          <w:rPr>
            <w:color w:val="4471C4"/>
            <w:lang w:val="cy-GB"/>
          </w:rPr>
          <w:t>.s</w:t>
        </w:r>
      </w:hyperlink>
      <w:r>
        <w:rPr>
          <w:color w:val="4471C4"/>
          <w:lang w:val="cy-GB"/>
        </w:rPr>
        <w:t>w</w:t>
      </w:r>
      <w:hyperlink r:id="rId7" w:history="1">
        <w:r>
          <w:rPr>
            <w:color w:val="4471C4"/>
            <w:lang w:val="cy-GB"/>
          </w:rPr>
          <w:t>ansea.ac.uk/finance-swansea-university/pensions/sip-</w:t>
        </w:r>
      </w:hyperlink>
      <w:r>
        <w:rPr>
          <w:color w:val="4471C4"/>
          <w:lang w:val="cy-GB"/>
        </w:rPr>
        <w:t xml:space="preserve"> swansea-university-pension-scheme/#bbq=on</w:t>
      </w:r>
    </w:p>
    <w:p w14:paraId="2FAA5A18" w14:textId="77777777" w:rsidR="00951A8E" w:rsidRDefault="00951A8E">
      <w:pPr>
        <w:pStyle w:val="BodyText"/>
        <w:spacing w:before="10"/>
        <w:rPr>
          <w:sz w:val="19"/>
        </w:rPr>
      </w:pPr>
    </w:p>
    <w:p w14:paraId="354F0A2F" w14:textId="77777777" w:rsidR="00951A8E" w:rsidRDefault="00F720AC">
      <w:pPr>
        <w:pStyle w:val="ListParagraph"/>
        <w:numPr>
          <w:ilvl w:val="1"/>
          <w:numId w:val="7"/>
        </w:numPr>
        <w:tabs>
          <w:tab w:val="left" w:pos="478"/>
          <w:tab w:val="left" w:pos="479"/>
        </w:tabs>
        <w:spacing w:before="1" w:line="276" w:lineRule="auto"/>
        <w:ind w:right="434" w:firstLine="0"/>
        <w:rPr>
          <w:sz w:val="20"/>
        </w:rPr>
      </w:pPr>
      <w:r>
        <w:rPr>
          <w:sz w:val="20"/>
          <w:lang w:val="cy-GB"/>
        </w:rPr>
        <w:t>Mae'r Ymddiriedolwyr yn cydnabod pwysigrwydd eu rôl fel</w:t>
      </w:r>
      <w:r>
        <w:rPr>
          <w:sz w:val="20"/>
          <w:lang w:val="cy-GB"/>
        </w:rPr>
        <w:t xml:space="preserve"> stiwardiaid cyfalaf a'r angen i sicrhau'r safonau uchaf o ran llywodraethu a hybu cyfrifoldeb corfforaethol yn y cwmnïau a'r asedau y mae'r Cynllun yn buddsoddi ynddynt, gan fod hyn, yn y pen draw, yn creu gwerth ariannol tymor hir i'r cynllun a'i fuddiol</w:t>
      </w:r>
      <w:r>
        <w:rPr>
          <w:sz w:val="20"/>
          <w:lang w:val="cy-GB"/>
        </w:rPr>
        <w:t>wyr.</w:t>
      </w:r>
    </w:p>
    <w:p w14:paraId="34468125" w14:textId="77777777" w:rsidR="00951A8E" w:rsidRDefault="00F720AC">
      <w:pPr>
        <w:pStyle w:val="ListParagraph"/>
        <w:numPr>
          <w:ilvl w:val="1"/>
          <w:numId w:val="7"/>
        </w:numPr>
        <w:tabs>
          <w:tab w:val="left" w:pos="478"/>
          <w:tab w:val="left" w:pos="479"/>
        </w:tabs>
        <w:spacing w:before="120" w:line="276" w:lineRule="auto"/>
        <w:ind w:right="1031" w:firstLine="0"/>
        <w:rPr>
          <w:sz w:val="20"/>
        </w:rPr>
      </w:pPr>
      <w:r>
        <w:rPr>
          <w:sz w:val="20"/>
          <w:lang w:val="cy-GB"/>
        </w:rPr>
        <w:t>Fel rhan o'u cyfrifoldebau dirprwyedig, mae'r Ymddiriedolwyr yn disgwyl i reolwyr buddsoddi'r Cynllun:</w:t>
      </w:r>
    </w:p>
    <w:p w14:paraId="0FD53AA4" w14:textId="77777777" w:rsidR="00951A8E" w:rsidRDefault="00F720AC">
      <w:pPr>
        <w:pStyle w:val="ListParagraph"/>
        <w:numPr>
          <w:ilvl w:val="2"/>
          <w:numId w:val="7"/>
        </w:numPr>
        <w:tabs>
          <w:tab w:val="left" w:pos="460"/>
        </w:tabs>
        <w:spacing w:before="121" w:line="276" w:lineRule="auto"/>
        <w:ind w:right="583"/>
        <w:rPr>
          <w:sz w:val="20"/>
        </w:rPr>
      </w:pPr>
      <w:r>
        <w:rPr>
          <w:sz w:val="20"/>
          <w:lang w:val="cy-GB"/>
        </w:rPr>
        <w:t>Lle y bo'n briodol, ymgysylltu â'r cwmnïau y buddsoddir ynddynt â'r nod o amddiffyn a gwella gwerth asedau; ac</w:t>
      </w:r>
    </w:p>
    <w:p w14:paraId="02376306" w14:textId="77777777" w:rsidR="00951A8E" w:rsidRDefault="00F720AC">
      <w:pPr>
        <w:pStyle w:val="ListParagraph"/>
        <w:numPr>
          <w:ilvl w:val="2"/>
          <w:numId w:val="7"/>
        </w:numPr>
        <w:tabs>
          <w:tab w:val="left" w:pos="460"/>
        </w:tabs>
        <w:spacing w:before="119"/>
        <w:ind w:hanging="172"/>
        <w:rPr>
          <w:sz w:val="20"/>
        </w:rPr>
      </w:pPr>
      <w:r>
        <w:rPr>
          <w:sz w:val="20"/>
          <w:lang w:val="cy-GB"/>
        </w:rPr>
        <w:t>Arfer yr hawliau pleidleisio mewn per</w:t>
      </w:r>
      <w:r>
        <w:rPr>
          <w:sz w:val="20"/>
          <w:lang w:val="cy-GB"/>
        </w:rPr>
        <w:t>thynas ag asedau'r Cynllun.</w:t>
      </w:r>
    </w:p>
    <w:p w14:paraId="21DE8E8F" w14:textId="77777777" w:rsidR="00951A8E" w:rsidRDefault="00F720AC">
      <w:pPr>
        <w:pStyle w:val="ListParagraph"/>
        <w:numPr>
          <w:ilvl w:val="1"/>
          <w:numId w:val="7"/>
        </w:numPr>
        <w:tabs>
          <w:tab w:val="left" w:pos="478"/>
          <w:tab w:val="left" w:pos="479"/>
        </w:tabs>
        <w:spacing w:before="155" w:line="276" w:lineRule="auto"/>
        <w:ind w:right="129" w:firstLine="0"/>
        <w:rPr>
          <w:sz w:val="20"/>
        </w:rPr>
      </w:pPr>
      <w:r>
        <w:rPr>
          <w:sz w:val="20"/>
          <w:lang w:val="cy-GB"/>
        </w:rPr>
        <w:t>Mae'r Ymddiriedolwyr yn adolygu addasrwydd parhaus y rheolwyr buddsoddi a benodwyd yn rheolaidd ac yn derbyn cyngor gan yr ymgynghorydd buddsoddi ynghylch unrhyw newidiadau. Mae'r cyngor hwn yn cynnwys ystyried materion stiwardi</w:t>
      </w:r>
      <w:r>
        <w:rPr>
          <w:sz w:val="20"/>
          <w:lang w:val="cy-GB"/>
        </w:rPr>
        <w:t>aeth ehangach a sut mae'r rheolwyr buddsoddi a benodwyd yn arfer hawliau pleidleisio.</w:t>
      </w:r>
    </w:p>
    <w:p w14:paraId="720FD253" w14:textId="77777777" w:rsidR="00951A8E" w:rsidRDefault="00F720AC">
      <w:pPr>
        <w:pStyle w:val="ListParagraph"/>
        <w:numPr>
          <w:ilvl w:val="1"/>
          <w:numId w:val="7"/>
        </w:numPr>
        <w:tabs>
          <w:tab w:val="left" w:pos="477"/>
          <w:tab w:val="left" w:pos="478"/>
        </w:tabs>
        <w:spacing w:before="120" w:line="276" w:lineRule="auto"/>
        <w:ind w:right="273" w:firstLine="0"/>
        <w:rPr>
          <w:sz w:val="20"/>
        </w:rPr>
      </w:pPr>
      <w:r>
        <w:rPr>
          <w:sz w:val="20"/>
          <w:lang w:val="cy-GB"/>
        </w:rPr>
        <w:t>Mae'r Ymddiriedolwyr yn adolygu gweithgareddau stiwardiaeth eu rheolwyr buddsoddi yn flynyddol, gan roi sylw i weithredoedd ymgysylltu a phleidleisio.</w:t>
      </w:r>
    </w:p>
    <w:p w14:paraId="6404AAD8" w14:textId="77777777" w:rsidR="00951A8E" w:rsidRDefault="00F720AC">
      <w:pPr>
        <w:pStyle w:val="ListParagraph"/>
        <w:numPr>
          <w:ilvl w:val="1"/>
          <w:numId w:val="7"/>
        </w:numPr>
        <w:tabs>
          <w:tab w:val="left" w:pos="477"/>
          <w:tab w:val="left" w:pos="478"/>
        </w:tabs>
        <w:spacing w:before="119" w:line="276" w:lineRule="auto"/>
        <w:ind w:right="170" w:firstLine="0"/>
        <w:rPr>
          <w:sz w:val="20"/>
        </w:rPr>
      </w:pPr>
      <w:r>
        <w:rPr>
          <w:sz w:val="20"/>
          <w:lang w:val="cy-GB"/>
        </w:rPr>
        <w:t>Bydd yr Ymddiriedol</w:t>
      </w:r>
      <w:r>
        <w:rPr>
          <w:sz w:val="20"/>
          <w:lang w:val="cy-GB"/>
        </w:rPr>
        <w:t>wyr yn ymgysylltu â'u rheolwyr buddsoddi i gael rhagor o wybodaeth, yn ôl yr angen, er mwyn sicrhau bod ymddygiadau perchnogaeth gadarn a gweithredol, sy'n adlewyrchu eu polisïau perchnogaeth weithredol, ar waith.</w:t>
      </w:r>
    </w:p>
    <w:p w14:paraId="221B0181" w14:textId="22ABA04B" w:rsidR="00951A8E" w:rsidRDefault="00F720AC" w:rsidP="007152D6">
      <w:pPr>
        <w:pStyle w:val="Heading2"/>
        <w:spacing w:before="121" w:line="460" w:lineRule="atLeast"/>
        <w:ind w:left="118" w:right="3883"/>
      </w:pPr>
      <w:r>
        <w:rPr>
          <w:lang w:val="cy-GB"/>
        </w:rPr>
        <w:t xml:space="preserve">Gweithgarwch stiwardiaeth y cynllun </w:t>
      </w:r>
      <w:r>
        <w:rPr>
          <w:lang w:val="cy-GB"/>
        </w:rPr>
        <w:t xml:space="preserve">dros y </w:t>
      </w:r>
      <w:r w:rsidR="007152D6">
        <w:rPr>
          <w:lang w:val="cy-GB"/>
        </w:rPr>
        <w:t>f</w:t>
      </w:r>
      <w:r>
        <w:rPr>
          <w:lang w:val="cy-GB"/>
        </w:rPr>
        <w:t>lwyddyn  Monitro Parhaus</w:t>
      </w:r>
    </w:p>
    <w:p w14:paraId="01156DF6" w14:textId="77777777" w:rsidR="00951A8E" w:rsidRDefault="00F720AC" w:rsidP="007152D6">
      <w:pPr>
        <w:pStyle w:val="BodyText"/>
        <w:ind w:left="117" w:right="123"/>
      </w:pPr>
      <w:r>
        <w:rPr>
          <w:lang w:val="cy-GB"/>
        </w:rPr>
        <w:t>Caiff buddsoddiad ei fonitro bob chwarter a darperir adroddiadau monitro i'r Ymddiriedolwr gan Aon. Mae'r adroddiadau'n cynnwys sgorau ESG (materion Amgylcheddol, Cymdeithasol, Llywodraethu) ac yn amlygu unrhyw feysydd pryd</w:t>
      </w:r>
      <w:r>
        <w:rPr>
          <w:lang w:val="cy-GB"/>
        </w:rPr>
        <w:t xml:space="preserve">er, neu lle mae angen gweithredu. Mae'r system sgorio ESG ar gyfer strategaethau buddsoddi i asesu a yw cyfranddaliadau’n werth eu prynu (buy rating). Ei nod yw asesu </w:t>
      </w:r>
    </w:p>
    <w:p w14:paraId="2E281D68" w14:textId="77777777" w:rsidR="00951A8E" w:rsidRDefault="00951A8E">
      <w:pPr>
        <w:jc w:val="both"/>
        <w:sectPr w:rsidR="00951A8E">
          <w:type w:val="continuous"/>
          <w:pgSz w:w="11910" w:h="16840"/>
          <w:pgMar w:top="1340" w:right="1320" w:bottom="280" w:left="1320" w:header="720" w:footer="720" w:gutter="0"/>
          <w:cols w:space="720"/>
        </w:sectPr>
      </w:pPr>
    </w:p>
    <w:p w14:paraId="53FCEA9C" w14:textId="77777777" w:rsidR="00951A8E" w:rsidRDefault="00F720AC" w:rsidP="007152D6">
      <w:pPr>
        <w:pStyle w:val="BodyText"/>
        <w:spacing w:before="81"/>
        <w:ind w:left="120" w:right="117"/>
        <w:rPr>
          <w:rFonts w:ascii="Calibri" w:hAnsi="Calibri"/>
          <w:sz w:val="22"/>
        </w:rPr>
      </w:pPr>
      <w:r>
        <w:rPr>
          <w:lang w:val="cy-GB"/>
        </w:rPr>
        <w:lastRenderedPageBreak/>
        <w:t>a yw rheolwyr buddsoddi yn cynnwys buddsoddi cyfrifol ac, yn fwy penodol, ystyriaethau ESG, yn eu proses penderfynu ar fuddsoddi. Mae'r sgorau ESG yn seiliedig ar amrywiaeth o ffactorau ansoddol, gan ddechrau gyda holiadur diwydrwydd dyladwy pwrpasol a gwb</w:t>
      </w:r>
      <w:r>
        <w:rPr>
          <w:lang w:val="cy-GB"/>
        </w:rPr>
        <w:t xml:space="preserve">lheir gan reolwr y gronfa. Ceir rhagor o wybodaeth am sgorau ESG Aon yma: </w:t>
      </w:r>
      <w:hyperlink r:id="rId8" w:history="1">
        <w:r>
          <w:rPr>
            <w:rFonts w:ascii="Calibri" w:hAnsi="Calibri"/>
            <w:color w:val="0562C1"/>
            <w:sz w:val="22"/>
            <w:u w:val="single" w:color="0562C1"/>
            <w:lang w:val="cy-GB"/>
          </w:rPr>
          <w:t>Guide-To-Aons-ESG-</w:t>
        </w:r>
      </w:hyperlink>
      <w:r>
        <w:rPr>
          <w:rFonts w:ascii="Calibri" w:hAnsi="Calibri"/>
          <w:color w:val="0562C1"/>
          <w:sz w:val="22"/>
          <w:lang w:val="cy-GB"/>
        </w:rPr>
        <w:t xml:space="preserve"> </w:t>
      </w:r>
      <w:hyperlink r:id="rId9" w:history="1">
        <w:r>
          <w:rPr>
            <w:rFonts w:ascii="Calibri" w:hAnsi="Calibri"/>
            <w:color w:val="0562C1"/>
            <w:spacing w:val="-2"/>
            <w:sz w:val="22"/>
            <w:u w:val="single" w:color="0562C1"/>
            <w:lang w:val="cy-GB"/>
          </w:rPr>
          <w:t>Ratings.aspx</w:t>
        </w:r>
      </w:hyperlink>
    </w:p>
    <w:p w14:paraId="28C1411F" w14:textId="77777777" w:rsidR="00951A8E" w:rsidRDefault="00951A8E">
      <w:pPr>
        <w:pStyle w:val="BodyText"/>
        <w:spacing w:before="3"/>
        <w:rPr>
          <w:rFonts w:ascii="Calibri"/>
          <w:sz w:val="11"/>
        </w:rPr>
      </w:pPr>
    </w:p>
    <w:p w14:paraId="18EC0759" w14:textId="77777777" w:rsidR="00951A8E" w:rsidRDefault="00F720AC" w:rsidP="007152D6">
      <w:pPr>
        <w:pStyle w:val="BodyText"/>
        <w:spacing w:before="92"/>
        <w:ind w:left="120" w:right="121"/>
      </w:pPr>
      <w:r>
        <w:rPr>
          <w:lang w:val="cy-GB"/>
        </w:rPr>
        <w:t xml:space="preserve">Mae ymchwilwyr Aon hefyd yn cynnal adolygiad o bolisïau a gweithdrefnau buddsoddi cyfrifol y rheolwyr, gan </w:t>
      </w:r>
      <w:r>
        <w:rPr>
          <w:lang w:val="cy-GB"/>
        </w:rPr>
        <w:t>gynnwys adolygiad o'u polisi buddsoddi cyfrifol (os oes un ganddynt) a'u polisïau ynghylch perchnogaeth weithredol, pleidleisio drwy ddirprwy a/neu stiwardiaeth. Ar ôl adolygiad trylwyr o'r deunyddiau, y data a'r polisïau sydd ar gael, yn ogystal â sgwrs â</w:t>
      </w:r>
      <w:r>
        <w:rPr>
          <w:lang w:val="cy-GB"/>
        </w:rPr>
        <w:t xml:space="preserve"> rheolwr y gronfa, bydd y prif ymchwilydd yn dyfarnu sgôr ESG, sy'n cael ei hadolygu gan gymheiriaid gan ddefnyddio fframwaith cyfeirio cytunedig. Caiff y sgorau eu diweddaru i adlewyrchu unrhyw newidiadau yn lefel integreiddio ESG y gronfa neu ddatblygiad</w:t>
      </w:r>
      <w:r>
        <w:rPr>
          <w:lang w:val="cy-GB"/>
        </w:rPr>
        <w:t>au ehangach ym maes buddsoddi cyfrifol.</w:t>
      </w:r>
    </w:p>
    <w:p w14:paraId="31E2A6F1" w14:textId="77777777" w:rsidR="00951A8E" w:rsidRDefault="00951A8E">
      <w:pPr>
        <w:pStyle w:val="BodyText"/>
        <w:spacing w:before="2"/>
      </w:pPr>
    </w:p>
    <w:p w14:paraId="5F2B3B93" w14:textId="77777777" w:rsidR="00951A8E" w:rsidRDefault="00F720AC" w:rsidP="007152D6">
      <w:pPr>
        <w:pStyle w:val="BodyText"/>
        <w:ind w:left="120" w:right="120"/>
      </w:pPr>
      <w:r>
        <w:rPr>
          <w:lang w:val="cy-GB"/>
        </w:rPr>
        <w:t>Mae Aon wedi tynnu sylw'r Ymddiriedolwyr at y ffaith y dyfarnwyd sgôr ‘integrated’ i Insight ac LGIM. Mae hyn yn golygu bod tîm rheoli'r gronfa wedi cymryd camau i nodi, gwerthuso a lliniaru risgiau ESG posib yn y p</w:t>
      </w:r>
      <w:r>
        <w:rPr>
          <w:lang w:val="cy-GB"/>
        </w:rPr>
        <w:t>ortffolio a all fod â goblygiadau ariannol. Nid oes sgôr ESG gan Abrdn, Schroders ac M&amp;G, oherwydd bod y cronfeydd mae'r Cynllun wedi buddsoddi ynddynt wedi'u graddio fel 'Gwerthu' a nid oes dadansoddiad pellach ar gael. Nid oes sgôr ESG ar gyfer Aon Inves</w:t>
      </w:r>
      <w:r>
        <w:rPr>
          <w:lang w:val="cy-GB"/>
        </w:rPr>
        <w:t>tment Limited ("AIL") yn cael ei darparu i'r Ymddiriedolwyr oherwydd nad yw Aon yn sgorio cronfeydd AIL i osgoi gwrthdaro rhwng buddiannau.</w:t>
      </w:r>
    </w:p>
    <w:p w14:paraId="18994FF2" w14:textId="77777777" w:rsidR="00951A8E" w:rsidRDefault="00951A8E">
      <w:pPr>
        <w:pStyle w:val="BodyText"/>
        <w:spacing w:before="10"/>
        <w:rPr>
          <w:sz w:val="19"/>
        </w:rPr>
      </w:pPr>
    </w:p>
    <w:p w14:paraId="4C9CACB6" w14:textId="77777777" w:rsidR="00951A8E" w:rsidRDefault="00F720AC" w:rsidP="007152D6">
      <w:pPr>
        <w:pStyle w:val="BodyText"/>
        <w:ind w:left="119" w:right="120"/>
      </w:pPr>
      <w:r>
        <w:rPr>
          <w:lang w:val="cy-GB"/>
        </w:rPr>
        <w:t xml:space="preserve">Yn ogystal â'r wybodaeth stiwardiaeth a gesglir at ddibenion adolygu a datgelu fel rhan o'r datganiad hwn ynghylch </w:t>
      </w:r>
      <w:r>
        <w:rPr>
          <w:lang w:val="cy-GB"/>
        </w:rPr>
        <w:t>gweithredu'r polisi ymgysylltu, bu'r Ymddiriedolwyr hefyd yn casglu data cost drwy ClearGlass gan eu holl reolwyr buddsoddi. Pan fydd yr adroddiad wedi'i gwblhau ar gyfer blwyddyn calendr 2021, caiff ei adolygu gan eu hymgynghorwyr buddsoddi a'i dynnu at s</w:t>
      </w:r>
      <w:r>
        <w:rPr>
          <w:lang w:val="cy-GB"/>
        </w:rPr>
        <w:t>ylw'r Ymddiriedolwyr, gan amlygu unrhyw weithgarwch ymgysylltu y gellir ei argymell.</w:t>
      </w:r>
    </w:p>
    <w:p w14:paraId="319AABFE" w14:textId="77777777" w:rsidR="00951A8E" w:rsidRDefault="00951A8E">
      <w:pPr>
        <w:pStyle w:val="BodyText"/>
        <w:spacing w:before="2"/>
        <w:rPr>
          <w:sz w:val="24"/>
        </w:rPr>
      </w:pPr>
    </w:p>
    <w:p w14:paraId="15C4FC01" w14:textId="77777777" w:rsidR="00951A8E" w:rsidRDefault="00F720AC">
      <w:pPr>
        <w:pStyle w:val="Heading1"/>
      </w:pPr>
      <w:r>
        <w:rPr>
          <w:lang w:val="cy-GB"/>
        </w:rPr>
        <w:t>Gweithgarwch Pleidleisio ac Ymgysylltu - cronfeydd ecwiti ac aml-ased</w:t>
      </w:r>
    </w:p>
    <w:p w14:paraId="410465D7" w14:textId="77777777" w:rsidR="00951A8E" w:rsidRDefault="00F720AC">
      <w:pPr>
        <w:pStyle w:val="BodyText"/>
        <w:spacing w:before="227"/>
        <w:ind w:left="120"/>
        <w:jc w:val="both"/>
      </w:pPr>
      <w:r>
        <w:rPr>
          <w:lang w:val="cy-GB"/>
        </w:rPr>
        <w:t>Yn ystod y flwyddyn, roedd y Cynllun yn dal y buddsoddiadau ecwiti ac aml-ased perthnasol canlynol:</w:t>
      </w:r>
    </w:p>
    <w:p w14:paraId="60C3BAC7" w14:textId="77777777" w:rsidR="00951A8E" w:rsidRDefault="00951A8E">
      <w:pPr>
        <w:pStyle w:val="BodyText"/>
        <w:spacing w:before="1"/>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09"/>
      </w:tblGrid>
      <w:tr w:rsidR="00CE0C3D" w14:paraId="4844F43A" w14:textId="77777777">
        <w:trPr>
          <w:trHeight w:val="229"/>
        </w:trPr>
        <w:tc>
          <w:tcPr>
            <w:tcW w:w="4507" w:type="dxa"/>
          </w:tcPr>
          <w:p w14:paraId="4FE13DAF" w14:textId="77777777" w:rsidR="00951A8E" w:rsidRDefault="00F720AC">
            <w:pPr>
              <w:pStyle w:val="TableParagraph"/>
              <w:spacing w:line="210" w:lineRule="exact"/>
              <w:rPr>
                <w:sz w:val="20"/>
              </w:rPr>
            </w:pPr>
            <w:r>
              <w:rPr>
                <w:sz w:val="20"/>
                <w:lang w:val="cy-GB"/>
              </w:rPr>
              <w:t>MFS Investment Management (“MFS”)</w:t>
            </w:r>
          </w:p>
        </w:tc>
        <w:tc>
          <w:tcPr>
            <w:tcW w:w="4509" w:type="dxa"/>
          </w:tcPr>
          <w:p w14:paraId="0F0830CD" w14:textId="77777777" w:rsidR="00951A8E" w:rsidRDefault="00F720AC">
            <w:pPr>
              <w:pStyle w:val="TableParagraph"/>
              <w:spacing w:line="210" w:lineRule="exact"/>
              <w:ind w:left="108"/>
              <w:rPr>
                <w:sz w:val="20"/>
              </w:rPr>
            </w:pPr>
            <w:r>
              <w:rPr>
                <w:sz w:val="20"/>
                <w:lang w:val="cy-GB"/>
              </w:rPr>
              <w:t>MFS Global Equity</w:t>
            </w:r>
          </w:p>
        </w:tc>
      </w:tr>
      <w:tr w:rsidR="00CE0C3D" w14:paraId="6539E10A" w14:textId="77777777">
        <w:trPr>
          <w:trHeight w:val="230"/>
        </w:trPr>
        <w:tc>
          <w:tcPr>
            <w:tcW w:w="4507" w:type="dxa"/>
          </w:tcPr>
          <w:p w14:paraId="185A210D" w14:textId="77777777" w:rsidR="00951A8E" w:rsidRDefault="00F720AC">
            <w:pPr>
              <w:pStyle w:val="TableParagraph"/>
              <w:spacing w:line="210" w:lineRule="exact"/>
              <w:rPr>
                <w:sz w:val="20"/>
              </w:rPr>
            </w:pPr>
            <w:r>
              <w:rPr>
                <w:sz w:val="20"/>
                <w:lang w:val="cy-GB"/>
              </w:rPr>
              <w:t>Schroder Investment Management (“Schroders”)</w:t>
            </w:r>
          </w:p>
        </w:tc>
        <w:tc>
          <w:tcPr>
            <w:tcW w:w="4509" w:type="dxa"/>
          </w:tcPr>
          <w:p w14:paraId="54B2AA3E" w14:textId="77777777" w:rsidR="00951A8E" w:rsidRDefault="00F720AC">
            <w:pPr>
              <w:pStyle w:val="TableParagraph"/>
              <w:spacing w:line="210" w:lineRule="exact"/>
              <w:ind w:left="108"/>
              <w:rPr>
                <w:sz w:val="20"/>
              </w:rPr>
            </w:pPr>
            <w:r>
              <w:rPr>
                <w:sz w:val="20"/>
                <w:lang w:val="cy-GB"/>
              </w:rPr>
              <w:t>Schroders Global Active Value</w:t>
            </w:r>
          </w:p>
        </w:tc>
      </w:tr>
      <w:tr w:rsidR="00CE0C3D" w14:paraId="6BD2D02A" w14:textId="77777777">
        <w:trPr>
          <w:trHeight w:val="930"/>
        </w:trPr>
        <w:tc>
          <w:tcPr>
            <w:tcW w:w="4507" w:type="dxa"/>
          </w:tcPr>
          <w:p w14:paraId="787B38A3" w14:textId="621B495E" w:rsidR="00951A8E" w:rsidRDefault="00F720AC" w:rsidP="007152D6">
            <w:pPr>
              <w:pStyle w:val="TableParagraph"/>
              <w:tabs>
                <w:tab w:val="left" w:pos="798"/>
                <w:tab w:val="left" w:pos="1134"/>
                <w:tab w:val="left" w:pos="2048"/>
                <w:tab w:val="left" w:pos="3229"/>
              </w:tabs>
              <w:spacing w:line="240" w:lineRule="auto"/>
              <w:ind w:right="99"/>
              <w:rPr>
                <w:sz w:val="20"/>
              </w:rPr>
            </w:pPr>
            <w:r>
              <w:rPr>
                <w:sz w:val="20"/>
                <w:lang w:val="cy-GB"/>
              </w:rPr>
              <w:t>Legal</w:t>
            </w:r>
            <w:r w:rsidR="007152D6">
              <w:rPr>
                <w:sz w:val="20"/>
                <w:lang w:val="cy-GB"/>
              </w:rPr>
              <w:t xml:space="preserve"> </w:t>
            </w:r>
            <w:r>
              <w:rPr>
                <w:sz w:val="20"/>
                <w:lang w:val="cy-GB"/>
              </w:rPr>
              <w:t>&amp;</w:t>
            </w:r>
            <w:r w:rsidR="007152D6">
              <w:rPr>
                <w:sz w:val="20"/>
                <w:lang w:val="cy-GB"/>
              </w:rPr>
              <w:t xml:space="preserve"> </w:t>
            </w:r>
            <w:r>
              <w:rPr>
                <w:sz w:val="20"/>
                <w:lang w:val="cy-GB"/>
              </w:rPr>
              <w:t>General</w:t>
            </w:r>
            <w:r w:rsidR="007152D6">
              <w:rPr>
                <w:sz w:val="20"/>
                <w:lang w:val="cy-GB"/>
              </w:rPr>
              <w:t xml:space="preserve"> </w:t>
            </w:r>
            <w:r>
              <w:rPr>
                <w:sz w:val="20"/>
                <w:lang w:val="cy-GB"/>
              </w:rPr>
              <w:t>Investment</w:t>
            </w:r>
            <w:r w:rsidR="007152D6">
              <w:rPr>
                <w:sz w:val="20"/>
                <w:lang w:val="cy-GB"/>
              </w:rPr>
              <w:t xml:space="preserve"> </w:t>
            </w:r>
            <w:r>
              <w:rPr>
                <w:sz w:val="20"/>
                <w:lang w:val="cy-GB"/>
              </w:rPr>
              <w:t>Management (“LGIM”)</w:t>
            </w:r>
          </w:p>
        </w:tc>
        <w:tc>
          <w:tcPr>
            <w:tcW w:w="4509" w:type="dxa"/>
          </w:tcPr>
          <w:p w14:paraId="2A38B6A8" w14:textId="77777777" w:rsidR="00951A8E" w:rsidRDefault="00F720AC">
            <w:pPr>
              <w:pStyle w:val="TableParagraph"/>
              <w:ind w:left="108"/>
              <w:rPr>
                <w:sz w:val="20"/>
              </w:rPr>
            </w:pPr>
            <w:r>
              <w:rPr>
                <w:sz w:val="20"/>
                <w:lang w:val="cy-GB"/>
              </w:rPr>
              <w:t>World Equity Index Fund</w:t>
            </w:r>
          </w:p>
          <w:p w14:paraId="5CC4252B" w14:textId="77777777" w:rsidR="00951A8E" w:rsidRDefault="00F720AC">
            <w:pPr>
              <w:pStyle w:val="TableParagraph"/>
              <w:spacing w:line="240" w:lineRule="auto"/>
              <w:ind w:left="108"/>
              <w:rPr>
                <w:sz w:val="20"/>
              </w:rPr>
            </w:pPr>
            <w:r>
              <w:rPr>
                <w:sz w:val="20"/>
                <w:lang w:val="cy-GB"/>
              </w:rPr>
              <w:t>World Equity Index Fund - GBP Currency Hedged</w:t>
            </w:r>
          </w:p>
        </w:tc>
      </w:tr>
      <w:tr w:rsidR="00CE0C3D" w14:paraId="55325F1A" w14:textId="77777777">
        <w:trPr>
          <w:trHeight w:val="230"/>
        </w:trPr>
        <w:tc>
          <w:tcPr>
            <w:tcW w:w="4507" w:type="dxa"/>
          </w:tcPr>
          <w:p w14:paraId="1188CA88" w14:textId="77777777" w:rsidR="00951A8E" w:rsidRDefault="00F720AC">
            <w:pPr>
              <w:pStyle w:val="TableParagraph"/>
              <w:spacing w:line="210" w:lineRule="exact"/>
              <w:rPr>
                <w:sz w:val="20"/>
              </w:rPr>
            </w:pPr>
            <w:r>
              <w:rPr>
                <w:sz w:val="20"/>
                <w:lang w:val="cy-GB"/>
              </w:rPr>
              <w:t>Aberdeen Standard Investments (“Abrdn”)</w:t>
            </w:r>
          </w:p>
        </w:tc>
        <w:tc>
          <w:tcPr>
            <w:tcW w:w="4509" w:type="dxa"/>
          </w:tcPr>
          <w:p w14:paraId="47CE6CD7" w14:textId="77777777" w:rsidR="00951A8E" w:rsidRDefault="00F720AC">
            <w:pPr>
              <w:pStyle w:val="TableParagraph"/>
              <w:spacing w:line="210" w:lineRule="exact"/>
              <w:ind w:left="108"/>
              <w:rPr>
                <w:sz w:val="20"/>
              </w:rPr>
            </w:pPr>
            <w:r>
              <w:rPr>
                <w:sz w:val="20"/>
                <w:lang w:val="cy-GB"/>
              </w:rPr>
              <w:t>Global Absolute Return Strategy</w:t>
            </w:r>
          </w:p>
        </w:tc>
      </w:tr>
    </w:tbl>
    <w:p w14:paraId="087750F9" w14:textId="77777777" w:rsidR="00951A8E" w:rsidRDefault="00951A8E">
      <w:pPr>
        <w:pStyle w:val="BodyText"/>
        <w:spacing w:before="1"/>
      </w:pPr>
    </w:p>
    <w:p w14:paraId="646A22D7" w14:textId="77777777" w:rsidR="00951A8E" w:rsidRDefault="00F720AC">
      <w:pPr>
        <w:pStyle w:val="BodyText"/>
        <w:spacing w:line="264" w:lineRule="auto"/>
        <w:ind w:left="119" w:right="193"/>
      </w:pPr>
      <w:r>
        <w:rPr>
          <w:lang w:val="cy-GB"/>
        </w:rPr>
        <w:t>Yn yr adran hon ceir crynodeb o wybodaeth bleidleisio ac enghreifftiau o weithgarwch pleidleisio arwyddocaol ar gyfer pob un o reolwyr perthnasol y Cynllun. Darparodd y rheolwyr buddsoddi enghreifftiau o bleidleisiau 'arwyddocaol' roeddent wedi cymryd rhan</w:t>
      </w:r>
      <w:r>
        <w:rPr>
          <w:lang w:val="cy-GB"/>
        </w:rPr>
        <w:t xml:space="preserve"> ynddynt dros y cyfnod. Mae gan bob rheolwr ei feini prawf ei hun wrth benderfynu a yw pleidlais yn arwyddocaol. Dyma enghreifftiau o bleidleisiau y gellir ystyried eu bod yn arwyddocaol:</w:t>
      </w:r>
    </w:p>
    <w:p w14:paraId="56C78FC2" w14:textId="77777777" w:rsidR="00951A8E" w:rsidRDefault="00F720AC">
      <w:pPr>
        <w:pStyle w:val="ListParagraph"/>
        <w:numPr>
          <w:ilvl w:val="0"/>
          <w:numId w:val="6"/>
        </w:numPr>
        <w:tabs>
          <w:tab w:val="left" w:pos="841"/>
        </w:tabs>
        <w:spacing w:before="120" w:line="264" w:lineRule="auto"/>
        <w:ind w:right="679"/>
        <w:rPr>
          <w:sz w:val="20"/>
        </w:rPr>
      </w:pPr>
      <w:r>
        <w:rPr>
          <w:sz w:val="20"/>
          <w:lang w:val="cy-GB"/>
        </w:rPr>
        <w:t>pleidlais lle roedd cyfran arwyddocaol o'r pleidleisiau (e.e. mwy na</w:t>
      </w:r>
      <w:r>
        <w:rPr>
          <w:sz w:val="20"/>
          <w:lang w:val="cy-GB"/>
        </w:rPr>
        <w:t xml:space="preserve"> 15%) yn erbyn cynnig y tîm rheoli</w:t>
      </w:r>
    </w:p>
    <w:p w14:paraId="40E2F6C5" w14:textId="77777777" w:rsidR="00951A8E" w:rsidRDefault="00F720AC">
      <w:pPr>
        <w:pStyle w:val="ListParagraph"/>
        <w:numPr>
          <w:ilvl w:val="0"/>
          <w:numId w:val="6"/>
        </w:numPr>
        <w:tabs>
          <w:tab w:val="left" w:pos="841"/>
        </w:tabs>
        <w:spacing w:before="121" w:line="264" w:lineRule="auto"/>
        <w:ind w:right="235"/>
        <w:rPr>
          <w:sz w:val="20"/>
        </w:rPr>
      </w:pPr>
      <w:r>
        <w:rPr>
          <w:sz w:val="20"/>
          <w:lang w:val="cy-GB"/>
        </w:rPr>
        <w:t xml:space="preserve">lle pleidleisiodd y rheolwr buddsoddi yn erbyn argymhelliad y tîm rheoli neu yn erbyn argymhelliad darparwr trydydd parti pleidleisio drwy ddirprwy </w:t>
      </w:r>
    </w:p>
    <w:p w14:paraId="5E21AF9E" w14:textId="77777777" w:rsidR="00951A8E" w:rsidRDefault="00F720AC">
      <w:pPr>
        <w:pStyle w:val="ListParagraph"/>
        <w:numPr>
          <w:ilvl w:val="0"/>
          <w:numId w:val="6"/>
        </w:numPr>
        <w:tabs>
          <w:tab w:val="left" w:pos="841"/>
        </w:tabs>
        <w:spacing w:before="118"/>
        <w:rPr>
          <w:sz w:val="20"/>
        </w:rPr>
      </w:pPr>
      <w:r>
        <w:rPr>
          <w:sz w:val="20"/>
          <w:lang w:val="cy-GB"/>
        </w:rPr>
        <w:t>pleidlais sy'n gysylltiedig ag ymgysylltu ehangach â'r cwmni dan sylw</w:t>
      </w:r>
    </w:p>
    <w:p w14:paraId="4D5B2840" w14:textId="77777777" w:rsidR="00951A8E" w:rsidRDefault="00F720AC">
      <w:pPr>
        <w:pStyle w:val="ListParagraph"/>
        <w:numPr>
          <w:ilvl w:val="0"/>
          <w:numId w:val="6"/>
        </w:numPr>
        <w:tabs>
          <w:tab w:val="left" w:pos="841"/>
        </w:tabs>
        <w:spacing w:before="144"/>
        <w:rPr>
          <w:sz w:val="20"/>
        </w:rPr>
      </w:pPr>
      <w:r>
        <w:rPr>
          <w:sz w:val="20"/>
          <w:lang w:val="cy-GB"/>
        </w:rPr>
        <w:t>pl</w:t>
      </w:r>
      <w:r>
        <w:rPr>
          <w:sz w:val="20"/>
          <w:lang w:val="cy-GB"/>
        </w:rPr>
        <w:t>eidlais sy'n dangos rhesymeg glir a phwyllog</w:t>
      </w:r>
    </w:p>
    <w:p w14:paraId="3D23EFA6" w14:textId="77777777" w:rsidR="00951A8E" w:rsidRDefault="00F720AC">
      <w:pPr>
        <w:pStyle w:val="ListParagraph"/>
        <w:numPr>
          <w:ilvl w:val="0"/>
          <w:numId w:val="6"/>
        </w:numPr>
        <w:tabs>
          <w:tab w:val="left" w:pos="841"/>
        </w:tabs>
        <w:spacing w:before="142"/>
        <w:rPr>
          <w:sz w:val="20"/>
        </w:rPr>
      </w:pPr>
      <w:r>
        <w:rPr>
          <w:sz w:val="20"/>
          <w:lang w:val="cy-GB"/>
        </w:rPr>
        <w:t>pleidlais y mae'r Ymddiriedolwyr yn ei hystyried yn amhriodol neu sy’n seiliedig ar resymeg amhriodol</w:t>
      </w:r>
    </w:p>
    <w:p w14:paraId="26AD8953" w14:textId="77777777" w:rsidR="00951A8E" w:rsidRDefault="00F720AC">
      <w:pPr>
        <w:pStyle w:val="ListParagraph"/>
        <w:numPr>
          <w:ilvl w:val="0"/>
          <w:numId w:val="6"/>
        </w:numPr>
        <w:tabs>
          <w:tab w:val="left" w:pos="842"/>
        </w:tabs>
        <w:spacing w:before="145"/>
        <w:ind w:left="841" w:hanging="362"/>
        <w:rPr>
          <w:sz w:val="20"/>
        </w:rPr>
      </w:pPr>
      <w:r>
        <w:rPr>
          <w:sz w:val="20"/>
          <w:lang w:val="cy-GB"/>
        </w:rPr>
        <w:t>pleidlais sydd â pherthnasedd sylweddol i aelodau'r Cynllun</w:t>
      </w:r>
    </w:p>
    <w:p w14:paraId="6A79FCB5" w14:textId="77777777" w:rsidR="00951A8E" w:rsidRDefault="00F720AC">
      <w:pPr>
        <w:pStyle w:val="BodyText"/>
        <w:spacing w:before="141"/>
        <w:ind w:left="120"/>
      </w:pPr>
      <w:r>
        <w:rPr>
          <w:lang w:val="cy-GB"/>
        </w:rPr>
        <w:t xml:space="preserve">Mae'r Ymddiriedolwyr yn ystyried bod </w:t>
      </w:r>
      <w:r>
        <w:rPr>
          <w:lang w:val="cy-GB"/>
        </w:rPr>
        <w:t>pleidlais arwyddocaol yn un lle mae'r rheolwr pleidleisio yn tybio ei fod yn arwyddocaol neu bleidlais lle cafodd mwy na 15% o'r pleidleisiau eu bwrw yn erbyn y tîm rheoli</w:t>
      </w:r>
    </w:p>
    <w:p w14:paraId="64E09780" w14:textId="77777777" w:rsidR="00951A8E" w:rsidRDefault="00951A8E">
      <w:pPr>
        <w:sectPr w:rsidR="00951A8E">
          <w:pgSz w:w="11910" w:h="16840"/>
          <w:pgMar w:top="1340" w:right="1320" w:bottom="280" w:left="1320" w:header="720" w:footer="720" w:gutter="0"/>
          <w:cols w:space="720"/>
        </w:sectPr>
      </w:pPr>
    </w:p>
    <w:p w14:paraId="1720EAFC" w14:textId="77777777" w:rsidR="00951A8E" w:rsidRDefault="00F720AC">
      <w:pPr>
        <w:spacing w:before="72"/>
        <w:ind w:left="120"/>
        <w:rPr>
          <w:b/>
        </w:rPr>
      </w:pPr>
      <w:r>
        <w:rPr>
          <w:b/>
          <w:bCs/>
          <w:lang w:val="cy-GB"/>
        </w:rPr>
        <w:lastRenderedPageBreak/>
        <w:t>MFS Investment Management (“MFS”) – Global Equity Fund</w:t>
      </w:r>
    </w:p>
    <w:p w14:paraId="64E38516" w14:textId="77777777" w:rsidR="00951A8E" w:rsidRDefault="00F720AC">
      <w:pPr>
        <w:pStyle w:val="BodyText"/>
        <w:spacing w:before="178"/>
        <w:ind w:left="120"/>
      </w:pPr>
      <w:r>
        <w:rPr>
          <w:u w:val="single"/>
          <w:lang w:val="cy-GB"/>
        </w:rPr>
        <w:t>Polisi Pleidlei</w:t>
      </w:r>
      <w:r>
        <w:rPr>
          <w:u w:val="single"/>
          <w:lang w:val="cy-GB"/>
        </w:rPr>
        <w:t>sio</w:t>
      </w:r>
    </w:p>
    <w:p w14:paraId="07757809" w14:textId="77777777" w:rsidR="00951A8E" w:rsidRDefault="00951A8E">
      <w:pPr>
        <w:pStyle w:val="BodyText"/>
        <w:rPr>
          <w:sz w:val="12"/>
        </w:rPr>
      </w:pPr>
    </w:p>
    <w:p w14:paraId="408A98FB" w14:textId="77777777" w:rsidR="00951A8E" w:rsidRDefault="00F720AC">
      <w:pPr>
        <w:pStyle w:val="BodyText"/>
        <w:spacing w:before="93"/>
        <w:ind w:left="120" w:right="230"/>
      </w:pPr>
      <w:r>
        <w:rPr>
          <w:lang w:val="cy-GB"/>
        </w:rPr>
        <w:t>Mae gan MFS gytundeb ag Institutional Shareholder Services (ISS) i gyflawni amrywiaeth o wasanaethau gweinyddol sy'n ymwneud â phleidleisio drwy ddirprwy, megis swyddogaethau prosesu pleidleisiau a chadw cofnodion. Mae hefyd yn derbyn adroddiadau ymch</w:t>
      </w:r>
      <w:r>
        <w:rPr>
          <w:lang w:val="cy-GB"/>
        </w:rPr>
        <w:t xml:space="preserve">wil ac argymhellion ynghylch pleidleisio gan ISS a Glass Lewis. Mae MFS yn dadansoddi'r holl faterion pleidleisio drwy ddirprwy yng nghyd-destun ei bolisïau pleidleisio drwy ddirprwy, a ddatblygir yn fewnol ac sy'n annibynnol ar gwmnïau trydydd parti sy'n </w:t>
      </w:r>
      <w:r>
        <w:rPr>
          <w:lang w:val="cy-GB"/>
        </w:rPr>
        <w:t>cynghori ar bleidleisio drwy ddirprwy. Ni chaiff penderfyniadau pleidleisio MFS eu diffinio gan argymhellion unrhyw gwmni sy'n cynghori ar bleidleisio drwy ddirprwy. Mae gan MFS weithdrefnau diwydrwydd dyladwy ar waith er mwyn helpu i sicrhau bod yr ymchwi</w:t>
      </w:r>
      <w:r>
        <w:rPr>
          <w:lang w:val="cy-GB"/>
        </w:rPr>
        <w:t>l mae'n ei derbyn gan ei gwmnïau cynghori ar bleidleisio drwy ddirprwy yn gywir a'i fod yn ymdrin yn rhesymol ag unrhyw wrthdaro buddiannau perthnasol posib o eiddo'r fath gwmnïau cynghori ar bleidleisio drwy ddirprwy.</w:t>
      </w:r>
    </w:p>
    <w:p w14:paraId="201BB95D" w14:textId="77777777" w:rsidR="00951A8E" w:rsidRDefault="00951A8E">
      <w:pPr>
        <w:pStyle w:val="BodyText"/>
      </w:pPr>
    </w:p>
    <w:p w14:paraId="3BD08EF5" w14:textId="77777777" w:rsidR="007152D6" w:rsidRDefault="00F720AC" w:rsidP="007152D6">
      <w:pPr>
        <w:pStyle w:val="BodyText"/>
        <w:ind w:left="120"/>
        <w:rPr>
          <w:lang w:val="cy-GB"/>
        </w:rPr>
      </w:pPr>
      <w:r>
        <w:rPr>
          <w:lang w:val="cy-GB"/>
        </w:rPr>
        <w:t>Mae MFS wedi bod yn un o lofnodwyr E</w:t>
      </w:r>
      <w:r>
        <w:rPr>
          <w:lang w:val="cy-GB"/>
        </w:rPr>
        <w:t xml:space="preserve">gwyddorion Buddsoddi Cyfrifol y Cenhedloedd Unedig ers 2010. </w:t>
      </w:r>
    </w:p>
    <w:p w14:paraId="3AB66C09" w14:textId="77777777" w:rsidR="007152D6" w:rsidRDefault="007152D6" w:rsidP="007152D6">
      <w:pPr>
        <w:pStyle w:val="BodyText"/>
        <w:ind w:left="120"/>
        <w:rPr>
          <w:lang w:val="cy-GB"/>
        </w:rPr>
      </w:pPr>
    </w:p>
    <w:p w14:paraId="62A2F901" w14:textId="4B093155" w:rsidR="00951A8E" w:rsidRDefault="00F720AC" w:rsidP="007152D6">
      <w:pPr>
        <w:pStyle w:val="BodyText"/>
        <w:ind w:left="120"/>
        <w:rPr>
          <w:u w:val="single"/>
          <w:lang w:val="cy-GB"/>
        </w:rPr>
      </w:pPr>
      <w:r>
        <w:rPr>
          <w:u w:val="single"/>
          <w:lang w:val="cy-GB"/>
        </w:rPr>
        <w:t>Enghraifft o Bleidleisio</w:t>
      </w:r>
    </w:p>
    <w:p w14:paraId="29E25B2D" w14:textId="77777777" w:rsidR="007152D6" w:rsidRDefault="007152D6" w:rsidP="007152D6">
      <w:pPr>
        <w:pStyle w:val="BodyText"/>
        <w:ind w:left="120"/>
      </w:pPr>
    </w:p>
    <w:p w14:paraId="21377B80" w14:textId="77777777" w:rsidR="00951A8E" w:rsidRDefault="00F720AC" w:rsidP="007152D6">
      <w:pPr>
        <w:pStyle w:val="BodyText"/>
        <w:spacing w:before="54" w:line="259" w:lineRule="auto"/>
        <w:ind w:left="119" w:right="117"/>
      </w:pPr>
      <w:r>
        <w:rPr>
          <w:lang w:val="cy-GB"/>
        </w:rPr>
        <w:t>Ym mis Tachwedd 2021, pleidleisiodd MFS yn erbyn cynnig tîm rheoli cwmni meddalwedd i ailethol aelodau'r pwyllgor cydnabyddiaeth ariannol. Pleidleisiodd MFS fel hyn oherw</w:t>
      </w:r>
      <w:r>
        <w:rPr>
          <w:lang w:val="cy-GB"/>
        </w:rPr>
        <w:t xml:space="preserve">ydd bod sawl blwyddyn o gefnogaeth isel i'r cynllun cydnabyddiaeth ariannol gweithredwyr yn awgrymu bod y pwyllgor cydnabyddiaeth ariannol wedi dangos diffyg ymatebolrwydd i bryderon cyfranddalwyr. Cafodd y cynnig ei basio. Mae MFS yn disgwyl i'r pwyllgor </w:t>
      </w:r>
      <w:r>
        <w:rPr>
          <w:lang w:val="cy-GB"/>
        </w:rPr>
        <w:t>cydnabyddiaeth ariannol ymgysylltu â'r cyfranddalwyr er mwyn deall eu pryderon a dangos atebolrwydd drwy wneud newidiadau ystyrlon i'r rhaglen cydnabyddiaeth ariannol gweithredwyr er mwyn iddi gyd-fynd yn well â disgwyliadau cyfranddalwyr.</w:t>
      </w:r>
    </w:p>
    <w:p w14:paraId="688992B2" w14:textId="77777777" w:rsidR="00951A8E" w:rsidRDefault="00F720AC">
      <w:pPr>
        <w:pStyle w:val="BodyText"/>
        <w:spacing w:before="157"/>
        <w:ind w:left="120"/>
        <w:jc w:val="both"/>
      </w:pPr>
      <w:r>
        <w:rPr>
          <w:u w:val="single"/>
          <w:lang w:val="cy-GB"/>
        </w:rPr>
        <w:t>Polisi Ymgysyllt</w:t>
      </w:r>
      <w:r>
        <w:rPr>
          <w:u w:val="single"/>
          <w:lang w:val="cy-GB"/>
        </w:rPr>
        <w:t>u</w:t>
      </w:r>
    </w:p>
    <w:p w14:paraId="00CDB586" w14:textId="77777777" w:rsidR="00951A8E" w:rsidRDefault="00951A8E">
      <w:pPr>
        <w:pStyle w:val="BodyText"/>
        <w:rPr>
          <w:sz w:val="12"/>
        </w:rPr>
      </w:pPr>
    </w:p>
    <w:p w14:paraId="6EB976A5" w14:textId="77777777" w:rsidR="00951A8E" w:rsidRDefault="00F720AC">
      <w:pPr>
        <w:pStyle w:val="BodyText"/>
        <w:spacing w:before="93"/>
        <w:ind w:left="120" w:right="162"/>
      </w:pPr>
      <w:r>
        <w:rPr>
          <w:lang w:val="cy-GB"/>
        </w:rPr>
        <w:t>Cynhelir gweithgarwch ymgysylltu MFS ar lefel cwmni cyfan. Mae tîm pleidleisio drwy ddirprwy MFS yn sgwrsio â chwmni neu randdeiliaid eraill i wella ei ddealltwriaeth o faterion penodol sy’n peri pryder i gyfranddalwyr, neu ynghylch pynciau thematig pen</w:t>
      </w:r>
      <w:r>
        <w:rPr>
          <w:lang w:val="cy-GB"/>
        </w:rPr>
        <w:t>odol ar gyfer ei bwyllgor pleidleisio drwy ddirprwy. Ymhlith y materion mae MFS yn eu trafod â thimau rheoli ac aelodau bwrdd cwmnïau a chynrychiolwyr eraill y cwmni y mae cydnabyddiaeth ariannol y tîm gweithredol, atebolrwydd cyfarwyddwyr, a materion amgy</w:t>
      </w:r>
      <w:r>
        <w:rPr>
          <w:lang w:val="cy-GB"/>
        </w:rPr>
        <w:t>lcheddol, cymdeithasol a llywodraethu.</w:t>
      </w:r>
    </w:p>
    <w:p w14:paraId="5C099525" w14:textId="77777777" w:rsidR="00951A8E" w:rsidRDefault="00951A8E">
      <w:pPr>
        <w:pStyle w:val="BodyText"/>
        <w:spacing w:before="1"/>
      </w:pPr>
    </w:p>
    <w:p w14:paraId="76ABA5E6" w14:textId="77777777" w:rsidR="00951A8E" w:rsidRDefault="00F720AC">
      <w:pPr>
        <w:pStyle w:val="BodyText"/>
        <w:ind w:left="120"/>
      </w:pPr>
      <w:r>
        <w:rPr>
          <w:lang w:val="cy-GB"/>
        </w:rPr>
        <w:t>Wrth ymgysylltu â chwmnïau, mae'r tîm pleidleisio drwy ddirprwy yn ceisio:</w:t>
      </w:r>
    </w:p>
    <w:p w14:paraId="32085341" w14:textId="77777777" w:rsidR="00951A8E" w:rsidRDefault="00951A8E">
      <w:pPr>
        <w:pStyle w:val="BodyText"/>
        <w:spacing w:before="1"/>
      </w:pPr>
    </w:p>
    <w:p w14:paraId="046EB145" w14:textId="77777777" w:rsidR="00951A8E" w:rsidRDefault="00F720AC">
      <w:pPr>
        <w:pStyle w:val="ListParagraph"/>
        <w:numPr>
          <w:ilvl w:val="0"/>
          <w:numId w:val="5"/>
        </w:numPr>
        <w:tabs>
          <w:tab w:val="left" w:pos="839"/>
          <w:tab w:val="left" w:pos="840"/>
        </w:tabs>
        <w:spacing w:line="229" w:lineRule="exact"/>
        <w:ind w:left="839"/>
        <w:rPr>
          <w:sz w:val="20"/>
        </w:rPr>
      </w:pPr>
      <w:r>
        <w:rPr>
          <w:sz w:val="20"/>
          <w:lang w:val="cy-GB"/>
        </w:rPr>
        <w:t>esbonio'r rhesymeg sy'n sail i'w pleidleisiau drwy ddirprwy;</w:t>
      </w:r>
    </w:p>
    <w:p w14:paraId="25935093" w14:textId="3B06A98F" w:rsidR="00951A8E" w:rsidRDefault="00F720AC">
      <w:pPr>
        <w:pStyle w:val="ListParagraph"/>
        <w:numPr>
          <w:ilvl w:val="0"/>
          <w:numId w:val="5"/>
        </w:numPr>
        <w:tabs>
          <w:tab w:val="left" w:pos="839"/>
          <w:tab w:val="left" w:pos="840"/>
        </w:tabs>
        <w:spacing w:line="229" w:lineRule="exact"/>
        <w:ind w:left="839"/>
        <w:rPr>
          <w:sz w:val="20"/>
        </w:rPr>
      </w:pPr>
      <w:r>
        <w:rPr>
          <w:sz w:val="20"/>
          <w:lang w:val="cy-GB"/>
        </w:rPr>
        <w:t xml:space="preserve">cyfnewid barn am faterion amgylcheddol, cymdeithasol a llywodraethu perthnasol; </w:t>
      </w:r>
      <w:r w:rsidR="007054BB">
        <w:rPr>
          <w:sz w:val="20"/>
          <w:lang w:val="cy-GB"/>
        </w:rPr>
        <w:t>a</w:t>
      </w:r>
      <w:r>
        <w:rPr>
          <w:sz w:val="20"/>
          <w:lang w:val="cy-GB"/>
        </w:rPr>
        <w:t>c</w:t>
      </w:r>
    </w:p>
    <w:p w14:paraId="649370CC" w14:textId="77777777" w:rsidR="007054BB" w:rsidRPr="007054BB" w:rsidRDefault="00F720AC" w:rsidP="007054BB">
      <w:pPr>
        <w:pStyle w:val="ListParagraph"/>
        <w:numPr>
          <w:ilvl w:val="0"/>
          <w:numId w:val="5"/>
        </w:numPr>
        <w:tabs>
          <w:tab w:val="left" w:pos="839"/>
          <w:tab w:val="left" w:pos="840"/>
        </w:tabs>
        <w:spacing w:line="417" w:lineRule="auto"/>
        <w:ind w:right="1899" w:hanging="1"/>
        <w:rPr>
          <w:sz w:val="20"/>
        </w:rPr>
      </w:pPr>
      <w:r>
        <w:rPr>
          <w:sz w:val="20"/>
          <w:lang w:val="cy-GB"/>
        </w:rPr>
        <w:t>o bosib, gyflawni newid cadarnhaol mewn perthynas â materion o'r fath</w:t>
      </w:r>
      <w:r>
        <w:rPr>
          <w:rFonts w:ascii="Calibri" w:hAnsi="Calibri"/>
          <w:sz w:val="20"/>
          <w:lang w:val="cy-GB"/>
        </w:rPr>
        <w:t>.</w:t>
      </w:r>
    </w:p>
    <w:p w14:paraId="1F86ED33" w14:textId="09A39B8F" w:rsidR="00951A8E" w:rsidRDefault="00F720AC" w:rsidP="007054BB">
      <w:pPr>
        <w:pStyle w:val="ListParagraph"/>
        <w:tabs>
          <w:tab w:val="left" w:pos="839"/>
          <w:tab w:val="left" w:pos="840"/>
        </w:tabs>
        <w:spacing w:line="417" w:lineRule="auto"/>
        <w:ind w:left="120" w:right="3036" w:firstLine="0"/>
        <w:rPr>
          <w:sz w:val="20"/>
        </w:rPr>
      </w:pPr>
      <w:r>
        <w:rPr>
          <w:sz w:val="20"/>
          <w:u w:val="single"/>
          <w:lang w:val="cy-GB"/>
        </w:rPr>
        <w:t>Enghraifft o ymgysylltu</w:t>
      </w:r>
    </w:p>
    <w:p w14:paraId="1646702F" w14:textId="41B5E00B" w:rsidR="00951A8E" w:rsidRDefault="00F720AC" w:rsidP="007054BB">
      <w:pPr>
        <w:pStyle w:val="BodyText"/>
        <w:spacing w:before="8"/>
        <w:ind w:left="120" w:right="120"/>
      </w:pPr>
      <w:r>
        <w:rPr>
          <w:lang w:val="cy-GB"/>
        </w:rPr>
        <w:t>Ym mhedwerydd chwarter 2021, bu MFS yn ymgysylltu â PPG industries Inc, cyflenw</w:t>
      </w:r>
      <w:r>
        <w:rPr>
          <w:lang w:val="cy-GB"/>
        </w:rPr>
        <w:t>yr byd-eang paentiau, caenau a deunyddiau arbenigol, ynghylch nifer o faterion ESG ond, yn fwy penodol, sut mae MFS y</w:t>
      </w:r>
      <w:r w:rsidR="007054BB">
        <w:rPr>
          <w:lang w:val="cy-GB"/>
        </w:rPr>
        <w:t>n</w:t>
      </w:r>
      <w:r>
        <w:rPr>
          <w:lang w:val="cy-GB"/>
        </w:rPr>
        <w:t xml:space="preserve"> mynd i'r afael â materion pwysig yn y diwydiant megis cynaliadwyedd a chynllunio dilyniant. Bu MFS y</w:t>
      </w:r>
      <w:r w:rsidR="007054BB">
        <w:rPr>
          <w:lang w:val="cy-GB"/>
        </w:rPr>
        <w:t>n</w:t>
      </w:r>
      <w:r>
        <w:rPr>
          <w:lang w:val="cy-GB"/>
        </w:rPr>
        <w:t xml:space="preserve"> ymgysylltu ynghylch twf posib cynhy</w:t>
      </w:r>
      <w:r>
        <w:rPr>
          <w:lang w:val="cy-GB"/>
        </w:rPr>
        <w:t>rchion cynaliadwy'r cwmni. Bu MFS hefyd yn ymgysylltu ynghylch prinder adnoddau dŵr â'r bwriad o barhau â'r sgwrs hon mewn gweithgarwch ymgysylltu yn y dyfodol. Holodd MFS hefyd am nifer y staff rheng flaen sy’n gadael y cwmni o’u gwirfodd sy'n uwch na chw</w:t>
      </w:r>
      <w:r>
        <w:rPr>
          <w:lang w:val="cy-GB"/>
        </w:rPr>
        <w:t>mnïau tebyg. Yn olaf, cychwynnodd MFS drafodaeth am yr ymagwedd at seiberddiogelwch, sy'n gyfrifoldeb ymgynghorwyr allanol ar hyn o bryd, a'r pwysigrwydd cynyddol mae'r bwrdd yn ei roi ar gynllunio ar gyfer olynydd i'r Prif Swyddog Gweithredol.</w:t>
      </w:r>
    </w:p>
    <w:p w14:paraId="274A6676" w14:textId="77777777" w:rsidR="00951A8E" w:rsidRDefault="00951A8E">
      <w:pPr>
        <w:pStyle w:val="BodyText"/>
        <w:spacing w:before="10"/>
        <w:rPr>
          <w:sz w:val="19"/>
        </w:rPr>
      </w:pPr>
    </w:p>
    <w:p w14:paraId="6C4976DC" w14:textId="77777777" w:rsidR="00951A8E" w:rsidRDefault="00F720AC" w:rsidP="007054BB">
      <w:pPr>
        <w:pStyle w:val="BodyText"/>
        <w:spacing w:before="1"/>
        <w:ind w:left="120" w:right="119"/>
      </w:pPr>
      <w:r>
        <w:rPr>
          <w:lang w:val="cy-GB"/>
        </w:rPr>
        <w:t>Timau dada</w:t>
      </w:r>
      <w:r>
        <w:rPr>
          <w:lang w:val="cy-GB"/>
        </w:rPr>
        <w:t>nsoddwyr a stiwardiaeth MFS a oedd yn gyfrifol am y gweithgarwch ymgysylltu hwn. Bydd MFS yn parhau i olrhain a monitro'r gweithgarwch ymgysylltu hwn yn y dyfodol.</w:t>
      </w:r>
    </w:p>
    <w:p w14:paraId="5961C663" w14:textId="77777777" w:rsidR="00951A8E" w:rsidRDefault="00951A8E">
      <w:pPr>
        <w:pStyle w:val="BodyText"/>
        <w:rPr>
          <w:sz w:val="22"/>
        </w:rPr>
      </w:pPr>
    </w:p>
    <w:p w14:paraId="1704B688" w14:textId="77777777" w:rsidR="00951A8E" w:rsidRDefault="00951A8E">
      <w:pPr>
        <w:pStyle w:val="BodyText"/>
        <w:spacing w:before="1"/>
        <w:rPr>
          <w:sz w:val="18"/>
        </w:rPr>
      </w:pPr>
    </w:p>
    <w:p w14:paraId="2ADB4ED5" w14:textId="77777777" w:rsidR="00951A8E" w:rsidRDefault="00F720AC">
      <w:pPr>
        <w:pStyle w:val="Heading2"/>
        <w:spacing w:before="1"/>
        <w:jc w:val="both"/>
      </w:pPr>
      <w:r>
        <w:rPr>
          <w:lang w:val="cy-GB"/>
        </w:rPr>
        <w:t>Schroder Investment Management (“Schroders”) - Global Active Value</w:t>
      </w:r>
    </w:p>
    <w:p w14:paraId="3A6C0989" w14:textId="77777777" w:rsidR="00951A8E" w:rsidRDefault="00F720AC">
      <w:pPr>
        <w:pStyle w:val="BodyText"/>
        <w:spacing w:before="174"/>
        <w:ind w:left="120"/>
        <w:jc w:val="both"/>
      </w:pPr>
      <w:r>
        <w:rPr>
          <w:u w:val="single"/>
          <w:lang w:val="cy-GB"/>
        </w:rPr>
        <w:t>Polisi Pleidleisio</w:t>
      </w:r>
    </w:p>
    <w:p w14:paraId="5DB6A389" w14:textId="77777777" w:rsidR="00951A8E" w:rsidRDefault="00951A8E">
      <w:pPr>
        <w:jc w:val="both"/>
        <w:sectPr w:rsidR="00951A8E">
          <w:pgSz w:w="11910" w:h="16840"/>
          <w:pgMar w:top="1580" w:right="1320" w:bottom="280" w:left="1320" w:header="720" w:footer="720" w:gutter="0"/>
          <w:cols w:space="720"/>
        </w:sectPr>
      </w:pPr>
    </w:p>
    <w:p w14:paraId="42ACA5A5" w14:textId="77777777" w:rsidR="00951A8E" w:rsidRDefault="00F720AC">
      <w:pPr>
        <w:pStyle w:val="BodyText"/>
        <w:spacing w:before="81"/>
        <w:ind w:left="120" w:right="183"/>
      </w:pPr>
      <w:r>
        <w:rPr>
          <w:lang w:val="cy-GB"/>
        </w:rPr>
        <w:lastRenderedPageBreak/>
        <w:t>Mae Schroders yn defnyddio ymchwil gan ISS ac Institutional Voting Information Services ("IVIS"). Fodd bynnag, mae'n nodi mai un elfen yn unig yw hon o'r dadansoddiad sy'n llywio ei benderfyniadau pleidleisio.</w:t>
      </w:r>
    </w:p>
    <w:p w14:paraId="745B93D7" w14:textId="77777777" w:rsidR="00951A8E" w:rsidRDefault="00F720AC">
      <w:pPr>
        <w:pStyle w:val="BodyText"/>
        <w:ind w:left="120" w:right="230"/>
      </w:pPr>
      <w:r>
        <w:rPr>
          <w:lang w:val="cy-GB"/>
        </w:rPr>
        <w:t xml:space="preserve">Mae Schroders yn pwysleisio bod </w:t>
      </w:r>
      <w:r>
        <w:rPr>
          <w:lang w:val="cy-GB"/>
        </w:rPr>
        <w:t>ei ymchwil ei hun hefyd yn rhan hanfodol o'i benderfyniad pleidleisio terfynol. Cynhelir yr ymchwil hon gan ei ddadansoddwyr ariannol ac ESG. Yn achos materion dadleuol, bydd arbenigwyr llywodraethu corfforaethol Schroders yn ymgysylltu â'r dadansoddwyr a'</w:t>
      </w:r>
      <w:r>
        <w:rPr>
          <w:lang w:val="cy-GB"/>
        </w:rPr>
        <w:t>r rheolwyr portffolio perthnasol i geisio eu barn a deall y cyd-destun corfforaethol yn well.</w:t>
      </w:r>
    </w:p>
    <w:p w14:paraId="78438455" w14:textId="77777777" w:rsidR="00951A8E" w:rsidRDefault="00951A8E">
      <w:pPr>
        <w:pStyle w:val="BodyText"/>
        <w:spacing w:before="1"/>
      </w:pPr>
    </w:p>
    <w:p w14:paraId="51389A01" w14:textId="77777777" w:rsidR="00951A8E" w:rsidRDefault="00F720AC">
      <w:pPr>
        <w:pStyle w:val="BodyText"/>
        <w:ind w:left="120"/>
      </w:pPr>
      <w:r>
        <w:rPr>
          <w:lang w:val="cy-GB"/>
        </w:rPr>
        <w:t>Mae Schroders o'r farn mai'r pleidleisiau yn erbyn tîm rheoli cwmni yw'r rhai mwyaf arwyddocaol. Mae'n gwrthwynebu'r tîm rheoli os yw'n credu bod gwneud hynny er</w:t>
      </w:r>
      <w:r>
        <w:rPr>
          <w:lang w:val="cy-GB"/>
        </w:rPr>
        <w:t xml:space="preserve"> budd gorau cyfranddalwyr a'i gleientiaid.</w:t>
      </w:r>
    </w:p>
    <w:p w14:paraId="0378EC36" w14:textId="77777777" w:rsidR="00951A8E" w:rsidRDefault="00951A8E">
      <w:pPr>
        <w:pStyle w:val="BodyText"/>
        <w:spacing w:before="10"/>
        <w:rPr>
          <w:sz w:val="19"/>
        </w:rPr>
      </w:pPr>
    </w:p>
    <w:p w14:paraId="510A90E8" w14:textId="77777777" w:rsidR="00951A8E" w:rsidRDefault="00F720AC">
      <w:pPr>
        <w:pStyle w:val="BodyText"/>
        <w:spacing w:before="1"/>
        <w:ind w:left="120"/>
      </w:pPr>
      <w:r>
        <w:rPr>
          <w:lang w:val="cy-GB"/>
        </w:rPr>
        <w:t xml:space="preserve">Mae Schroders yn datgelu ei weithgarwch pleidleisio'n gyhoeddus. Bob mis, mae Schroders yn llunio adroddiadau pleidleisio sy'n manylu ar sut cafodd pleidleisiau eu bwrw, gan gynnwys pleidleisiau yn erbyn </w:t>
      </w:r>
      <w:r>
        <w:rPr>
          <w:lang w:val="cy-GB"/>
        </w:rPr>
        <w:t>timau rheoli ac ymataliadau.</w:t>
      </w:r>
    </w:p>
    <w:p w14:paraId="1D660474" w14:textId="77777777" w:rsidR="00951A8E" w:rsidRDefault="00951A8E">
      <w:pPr>
        <w:pStyle w:val="BodyText"/>
      </w:pPr>
    </w:p>
    <w:p w14:paraId="6DC58664" w14:textId="77777777" w:rsidR="00951A8E" w:rsidRDefault="00F720AC">
      <w:pPr>
        <w:pStyle w:val="BodyText"/>
        <w:ind w:left="120"/>
      </w:pPr>
      <w:r>
        <w:rPr>
          <w:u w:val="single"/>
          <w:lang w:val="cy-GB"/>
        </w:rPr>
        <w:t>Enghraifft o Bleidleisio</w:t>
      </w:r>
    </w:p>
    <w:p w14:paraId="4DC1A9A1" w14:textId="77777777" w:rsidR="00951A8E" w:rsidRDefault="00951A8E">
      <w:pPr>
        <w:pStyle w:val="BodyText"/>
        <w:spacing w:before="9"/>
        <w:rPr>
          <w:sz w:val="11"/>
        </w:rPr>
      </w:pPr>
    </w:p>
    <w:p w14:paraId="199576B5" w14:textId="77777777" w:rsidR="00951A8E" w:rsidRDefault="00F720AC">
      <w:pPr>
        <w:pStyle w:val="BodyText"/>
        <w:spacing w:before="93"/>
        <w:ind w:left="120" w:right="158"/>
      </w:pPr>
      <w:r>
        <w:rPr>
          <w:lang w:val="cy-GB"/>
        </w:rPr>
        <w:t>Ym mis Mehefin 2022, pleidleisiodd Schroders yn erbyn tîm rheoli Alphabet, uwchgwmni technoleg amlwladol, ond o blaid cynnig i adrodd am risgiau gwneud busnes mewn gwledydd lle ceir pryderon sylweddol</w:t>
      </w:r>
      <w:r>
        <w:rPr>
          <w:lang w:val="cy-GB"/>
        </w:rPr>
        <w:t xml:space="preserve"> ynghylch hawliau dynol. Pleidleisiodd Schroders fel hyn am ei fod yn credu y byddai cyfranddalwyr yn elwa o ddatgeliad manylach ynghylch sut mae'r cwmni'n rheoli risgiau mewn perthynas â hawliau dynol mewn gwledydd risg uchel. Mae Schroders o'r farn bod y</w:t>
      </w:r>
      <w:r>
        <w:rPr>
          <w:lang w:val="cy-GB"/>
        </w:rPr>
        <w:t xml:space="preserve"> bleidlais hon yn arwyddocaol am ei bod yn bleidlais yn erbyn y tîm rheoli ond hefyd am ei bod yn gysylltiedig â chynnig amgylcheddol a chymdeithasol y cyfranddalwyr. Nid yw canlyniad y bleidlais hon ar gael eto, ond bydd Schroders yn parhau i gymryd rhan </w:t>
      </w:r>
      <w:r>
        <w:rPr>
          <w:lang w:val="cy-GB"/>
        </w:rPr>
        <w:t>mewn deialog barhaus â'r cwmni.</w:t>
      </w:r>
    </w:p>
    <w:p w14:paraId="15F7C2D7" w14:textId="77777777" w:rsidR="00951A8E" w:rsidRDefault="00951A8E">
      <w:pPr>
        <w:pStyle w:val="BodyText"/>
        <w:rPr>
          <w:sz w:val="22"/>
        </w:rPr>
      </w:pPr>
    </w:p>
    <w:p w14:paraId="5CFA77B6" w14:textId="77777777" w:rsidR="00951A8E" w:rsidRDefault="00951A8E">
      <w:pPr>
        <w:pStyle w:val="BodyText"/>
        <w:spacing w:before="1"/>
        <w:rPr>
          <w:sz w:val="18"/>
        </w:rPr>
      </w:pPr>
    </w:p>
    <w:p w14:paraId="0FCF7782" w14:textId="77777777" w:rsidR="00951A8E" w:rsidRDefault="00F720AC">
      <w:pPr>
        <w:pStyle w:val="BodyText"/>
        <w:ind w:left="120"/>
      </w:pPr>
      <w:r>
        <w:rPr>
          <w:u w:val="single"/>
          <w:lang w:val="cy-GB"/>
        </w:rPr>
        <w:t>Polisi Ymgysylltu</w:t>
      </w:r>
    </w:p>
    <w:p w14:paraId="25286968" w14:textId="77777777" w:rsidR="00951A8E" w:rsidRDefault="00951A8E">
      <w:pPr>
        <w:pStyle w:val="BodyText"/>
        <w:spacing w:before="9"/>
        <w:rPr>
          <w:sz w:val="11"/>
        </w:rPr>
      </w:pPr>
    </w:p>
    <w:p w14:paraId="1A607095" w14:textId="77777777" w:rsidR="00951A8E" w:rsidRDefault="00F720AC">
      <w:pPr>
        <w:pStyle w:val="BodyText"/>
        <w:spacing w:before="93"/>
        <w:ind w:left="120" w:right="230"/>
      </w:pPr>
      <w:r>
        <w:rPr>
          <w:lang w:val="cy-GB"/>
        </w:rPr>
        <w:t xml:space="preserve">Mae Schroders yn diffinio ymgysylltu fel cyfathrebu pwrpasol ag endid (e.e. llywodraeth, sefydliad corfforaethol, partïon ariannol i gontract, rheoleiddiwr, corff diwydiannol neu reolwyr cyfryngau diben </w:t>
      </w:r>
      <w:r>
        <w:rPr>
          <w:lang w:val="cy-GB"/>
        </w:rPr>
        <w:t>arbennig neu gronfeydd) ynghylch materion o bwys penodol â'r nod o annog newid yn yr endid a/neu welliant yn y system ehangach. Ystyrir bod perchnogaeth weithredol yn rhan allweddol o'r broses ESG yn Schroders.</w:t>
      </w:r>
    </w:p>
    <w:p w14:paraId="00CBC7A5" w14:textId="77777777" w:rsidR="00951A8E" w:rsidRDefault="00951A8E">
      <w:pPr>
        <w:pStyle w:val="BodyText"/>
        <w:spacing w:before="1"/>
      </w:pPr>
    </w:p>
    <w:p w14:paraId="24B6AB4F" w14:textId="77777777" w:rsidR="00951A8E" w:rsidRDefault="00F720AC">
      <w:pPr>
        <w:pStyle w:val="BodyText"/>
        <w:ind w:left="120" w:right="193"/>
      </w:pPr>
      <w:r>
        <w:rPr>
          <w:lang w:val="cy-GB"/>
        </w:rPr>
        <w:t>Mae'r tîm buddsoddi'n monitro'r gweithgarwch</w:t>
      </w:r>
      <w:r>
        <w:rPr>
          <w:lang w:val="cy-GB"/>
        </w:rPr>
        <w:t xml:space="preserve"> ymgysylltu a phleidleisio a wneir mewn perthynas â daliadau isorweddol y gronfa mewn partneriaeth â thîm Buddsoddi Cynaliadwy Schroders, er mwyn sicrhau eu bod yn ysgogi gwelliannau ESG ar lefel y daliad isorweddol. Gall ymgysylltiadau Schroders gymryd rh</w:t>
      </w:r>
      <w:r>
        <w:rPr>
          <w:lang w:val="cy-GB"/>
        </w:rPr>
        <w:t>wng dwy a thair blynedd o'r ymgysylltu cychwynnol i ddiwedd y broses. Gwneir penderfyniadau buddsoddi gan reolwr y gronfa isorweddol ar sail gweithgarwch ymgysylltu.</w:t>
      </w:r>
    </w:p>
    <w:p w14:paraId="0ED6A92E" w14:textId="77777777" w:rsidR="00951A8E" w:rsidRDefault="00951A8E">
      <w:pPr>
        <w:pStyle w:val="BodyText"/>
        <w:rPr>
          <w:sz w:val="22"/>
        </w:rPr>
      </w:pPr>
    </w:p>
    <w:p w14:paraId="1291D65C" w14:textId="77777777" w:rsidR="00951A8E" w:rsidRDefault="00F720AC">
      <w:pPr>
        <w:pStyle w:val="BodyText"/>
        <w:spacing w:before="184"/>
        <w:ind w:left="120"/>
      </w:pPr>
      <w:r>
        <w:rPr>
          <w:u w:val="single"/>
          <w:lang w:val="cy-GB"/>
        </w:rPr>
        <w:t>Enghraifft o Ymgysylltu</w:t>
      </w:r>
    </w:p>
    <w:p w14:paraId="7FD92FBB" w14:textId="7BEB201D" w:rsidR="00951A8E" w:rsidRDefault="00F720AC" w:rsidP="007054BB">
      <w:pPr>
        <w:pStyle w:val="BodyText"/>
        <w:spacing w:before="178" w:line="259" w:lineRule="auto"/>
        <w:ind w:left="119" w:right="119"/>
      </w:pPr>
      <w:r>
        <w:rPr>
          <w:lang w:val="cy-GB"/>
        </w:rPr>
        <w:t>Bu Schroders yn ymgysylltu â PepsiCo ("Pepsi") ynghylch llygredd</w:t>
      </w:r>
      <w:r>
        <w:rPr>
          <w:lang w:val="cy-GB"/>
        </w:rPr>
        <w:t xml:space="preserve"> a gwastraff. Cafodd Schroders alwad gyda Swyddog Cynaliadwy</w:t>
      </w:r>
      <w:r w:rsidR="007054BB">
        <w:rPr>
          <w:lang w:val="cy-GB"/>
        </w:rPr>
        <w:t>edd</w:t>
      </w:r>
      <w:r>
        <w:rPr>
          <w:lang w:val="cy-GB"/>
        </w:rPr>
        <w:t xml:space="preserve"> a chysylltiadau buddsoddwyr y cwmni ynghylch nodau ailgylchu Pepsi. Yn ystod y drafodaeth â Pepsi, anogodd Schroders y cwmni i newid yn llwyr i resinau cyffredin ar gyfer holl becynnu'r cwmni a s</w:t>
      </w:r>
      <w:r>
        <w:rPr>
          <w:lang w:val="cy-GB"/>
        </w:rPr>
        <w:t>ymud i argraffu'n uniongyrchol ar becynnu yn hytrach na defnyddio labeli wedi'u hargraffu. Byddai'r ddau gam hyn yn golygu byddai deunyddiau pecynnu Pepsi yn fwy addas i'w hailgylchu, yn cynorthwyo ymdrechion i liniaru gwastraff plastig ac yn gwella effait</w:t>
      </w:r>
      <w:r>
        <w:rPr>
          <w:lang w:val="cy-GB"/>
        </w:rPr>
        <w:t>h amgylcheddol y cwmni'n barhaus.</w:t>
      </w:r>
    </w:p>
    <w:p w14:paraId="4A090E7F" w14:textId="77777777" w:rsidR="00951A8E" w:rsidRDefault="00F720AC">
      <w:pPr>
        <w:pStyle w:val="BodyText"/>
        <w:spacing w:before="159" w:line="259" w:lineRule="auto"/>
        <w:ind w:left="119" w:right="162"/>
      </w:pPr>
      <w:r>
        <w:rPr>
          <w:lang w:val="cy-GB"/>
        </w:rPr>
        <w:t>Gan fod Pepsi yn rhan o grŵp mwy o arweinwyr y farchnad yn y diwydiant bwyd a diodydd, mae Schroders yn credu ei bod hi'n hollbwysig i'r cwmni gydnabod effaith amgylcheddol y pecynnu plastig presennol. Felly, defnyddiodd Schroders y cyfarfod i annog gwelli</w:t>
      </w:r>
      <w:r>
        <w:rPr>
          <w:lang w:val="cy-GB"/>
        </w:rPr>
        <w:t>annau i addasrwydd cynhyrchion y cwmni i gael eu hailgylchu ac i roi gwybod i Pepsi am y dechnoleg ddiweddaraf ym maes poteli wedi'u hailgylchu, sef rPET (recycled polyethylene terephthalate) gan gyfeirio at unrhyw ddeunydd PET o ffynhonnell a ailgylchwyd,</w:t>
      </w:r>
      <w:r>
        <w:rPr>
          <w:lang w:val="cy-GB"/>
        </w:rPr>
        <w:t xml:space="preserve"> yn hytrach na’r deunydd petrocemegol gwreiddiol heb ei brosesu. Mae mwy o ddeunydd y botel hon yn gallu gael ei ailgylchu. Bydd Schroders yn parhau i drafod y pwnc hwn â PepsiCo</w:t>
      </w:r>
    </w:p>
    <w:p w14:paraId="587DF7D3" w14:textId="77777777" w:rsidR="00951A8E" w:rsidRDefault="00F720AC">
      <w:pPr>
        <w:pStyle w:val="Heading2"/>
        <w:spacing w:before="160"/>
        <w:ind w:left="119"/>
      </w:pPr>
      <w:r>
        <w:rPr>
          <w:lang w:val="cy-GB"/>
        </w:rPr>
        <w:t>Legal &amp; General Investment Management (“LGIM”) – World Equity Index Fund</w:t>
      </w:r>
    </w:p>
    <w:p w14:paraId="739943BF" w14:textId="77777777" w:rsidR="00951A8E" w:rsidRDefault="00F720AC">
      <w:pPr>
        <w:pStyle w:val="BodyText"/>
        <w:spacing w:before="178"/>
        <w:ind w:left="120"/>
      </w:pPr>
      <w:r>
        <w:rPr>
          <w:u w:val="single"/>
          <w:lang w:val="cy-GB"/>
        </w:rPr>
        <w:t>Plei</w:t>
      </w:r>
      <w:r>
        <w:rPr>
          <w:u w:val="single"/>
          <w:lang w:val="cy-GB"/>
        </w:rPr>
        <w:t>dleisio</w:t>
      </w:r>
    </w:p>
    <w:p w14:paraId="59C8FE61" w14:textId="77777777" w:rsidR="00951A8E" w:rsidRDefault="00951A8E">
      <w:pPr>
        <w:sectPr w:rsidR="00951A8E">
          <w:pgSz w:w="11910" w:h="16840"/>
          <w:pgMar w:top="1340" w:right="1320" w:bottom="280" w:left="1320" w:header="720" w:footer="720" w:gutter="0"/>
          <w:cols w:space="720"/>
        </w:sectPr>
      </w:pPr>
    </w:p>
    <w:p w14:paraId="0ED3C328" w14:textId="77777777" w:rsidR="00951A8E" w:rsidRDefault="00F720AC" w:rsidP="007054BB">
      <w:pPr>
        <w:pStyle w:val="BodyText"/>
        <w:spacing w:before="71" w:line="259" w:lineRule="auto"/>
        <w:ind w:left="119" w:right="118"/>
      </w:pPr>
      <w:r>
        <w:rPr>
          <w:lang w:val="cy-GB"/>
        </w:rPr>
        <w:lastRenderedPageBreak/>
        <w:t>Mae LGIM yn defnyddio'r ymgynghorydd ar bleidleisio drwy ddirprwy, Institutional Shareholder Services ("ISS"), i fwrw pleidleisiau'n electronig ac ar gyfer ymchwil. Mae LGIM hefyd yn derbyn ymchwil gan yr Institutional Voting Informat</w:t>
      </w:r>
      <w:r>
        <w:rPr>
          <w:lang w:val="cy-GB"/>
        </w:rPr>
        <w:t>ion Service ("IVIS"). Mae hyn yn ychwanegu at ymchwil ac offer asesu ffactorau Amgylcheddol, Cymdeithasol a Llywodraethu LGIM ei hun. Nid yw LGIM yn dirprwyo unrhyw ran o'r penderfyniadau pleidleisio i ISS. Mae gan LGIM bolisi pleidleisio pwrpasol ar waith</w:t>
      </w:r>
      <w:r>
        <w:rPr>
          <w:lang w:val="cy-GB"/>
        </w:rPr>
        <w:t xml:space="preserve"> gydag ISS. Ei nod yw cynnal y safonau gorau o ymarfer y dylai cwmnïau lynu wrthynt ym marn LGIM. Gall LGIM anwybyddu unrhyw benderfyniadau pleidleisio yn seiliedig ar y polisi pleidleisio os yw hynny'n briodol. Er enghraifft, os yw ymgysylltu â'r cwmni we</w:t>
      </w:r>
      <w:r>
        <w:rPr>
          <w:lang w:val="cy-GB"/>
        </w:rPr>
        <w:t>di darparu gwybodaeth ychwanegol.</w:t>
      </w:r>
    </w:p>
    <w:p w14:paraId="6CF288EE" w14:textId="77777777" w:rsidR="00951A8E" w:rsidRDefault="00F720AC">
      <w:pPr>
        <w:pStyle w:val="BodyText"/>
        <w:spacing w:before="159"/>
        <w:ind w:left="120"/>
        <w:jc w:val="both"/>
      </w:pPr>
      <w:r>
        <w:rPr>
          <w:u w:val="single"/>
          <w:lang w:val="cy-GB"/>
        </w:rPr>
        <w:t>Enghraifft o bleidleisio</w:t>
      </w:r>
    </w:p>
    <w:p w14:paraId="2F7C0387" w14:textId="77777777" w:rsidR="00951A8E" w:rsidRDefault="00951A8E">
      <w:pPr>
        <w:pStyle w:val="BodyText"/>
        <w:spacing w:before="9"/>
        <w:rPr>
          <w:sz w:val="11"/>
        </w:rPr>
      </w:pPr>
    </w:p>
    <w:p w14:paraId="43A02FA1" w14:textId="77777777" w:rsidR="00951A8E" w:rsidRDefault="00F720AC">
      <w:pPr>
        <w:pStyle w:val="BodyText"/>
        <w:spacing w:before="93"/>
        <w:ind w:left="119" w:right="148"/>
      </w:pPr>
      <w:r>
        <w:rPr>
          <w:lang w:val="cy-GB"/>
        </w:rPr>
        <w:t>Ym mis Mawrth 2022, pleidleisiodd LGIM o blaid cynnig i adrodd am hawliau sifil ar gyfer Apple Inc., cwmni technoleg Americanaidd amlwladol. Yn ôl LGIM, pleidleisiodd fel hyn oherwydd ei fod yn ce</w:t>
      </w:r>
      <w:r>
        <w:rPr>
          <w:lang w:val="cy-GB"/>
        </w:rPr>
        <w:t>fnogi cynigion sy'n gysylltiedig â pholisïau amrywiaeth a chynhwysiant am ei fod yn ystyried bod y materion hyn yn risg berthnasol i gwmnïau. Llwyddodd y bleidlais hon. Roedd LGIM o'r farn bod y bleidlais hon yn arwyddocaol am fod LGIM yn ystyried bod amry</w:t>
      </w:r>
      <w:r>
        <w:rPr>
          <w:lang w:val="cy-GB"/>
        </w:rPr>
        <w:t>wiaeth rhywedd yn fater o berthnasedd ariannol i'w gleientiaid, â goblygiadau ar gyfer yr asedau mae'n eu rheoli ar eu rhan.</w:t>
      </w:r>
    </w:p>
    <w:p w14:paraId="7350084E" w14:textId="77777777" w:rsidR="00951A8E" w:rsidRDefault="00951A8E">
      <w:pPr>
        <w:pStyle w:val="BodyText"/>
        <w:rPr>
          <w:sz w:val="22"/>
        </w:rPr>
      </w:pPr>
    </w:p>
    <w:p w14:paraId="605B89DA" w14:textId="77777777" w:rsidR="00951A8E" w:rsidRDefault="00F720AC">
      <w:pPr>
        <w:pStyle w:val="BodyText"/>
        <w:spacing w:before="155"/>
        <w:ind w:left="120"/>
      </w:pPr>
      <w:r>
        <w:rPr>
          <w:u w:val="single"/>
          <w:lang w:val="cy-GB"/>
        </w:rPr>
        <w:t>Ymgysylltu</w:t>
      </w:r>
    </w:p>
    <w:p w14:paraId="32C4513B" w14:textId="77777777" w:rsidR="00951A8E" w:rsidRDefault="00951A8E">
      <w:pPr>
        <w:pStyle w:val="BodyText"/>
        <w:rPr>
          <w:sz w:val="12"/>
        </w:rPr>
      </w:pPr>
    </w:p>
    <w:p w14:paraId="306D0087" w14:textId="77777777" w:rsidR="00951A8E" w:rsidRDefault="00F720AC">
      <w:pPr>
        <w:pStyle w:val="BodyText"/>
        <w:spacing w:before="93"/>
        <w:ind w:left="120"/>
      </w:pPr>
      <w:r>
        <w:rPr>
          <w:lang w:val="cy-GB"/>
        </w:rPr>
        <w:t>Mae gan LGIM ymagwedd chwe cham at ei weithgareddau ymgysylltu a stiwardiaeth. Yn fras, y rhain yw:</w:t>
      </w:r>
    </w:p>
    <w:p w14:paraId="60BA0871" w14:textId="77777777" w:rsidR="00951A8E" w:rsidRDefault="00951A8E">
      <w:pPr>
        <w:pStyle w:val="BodyText"/>
        <w:spacing w:before="1"/>
      </w:pPr>
    </w:p>
    <w:p w14:paraId="5BE2C93D" w14:textId="77777777" w:rsidR="00951A8E" w:rsidRDefault="00F720AC">
      <w:pPr>
        <w:pStyle w:val="ListParagraph"/>
        <w:numPr>
          <w:ilvl w:val="0"/>
          <w:numId w:val="4"/>
        </w:numPr>
        <w:tabs>
          <w:tab w:val="left" w:pos="840"/>
        </w:tabs>
        <w:spacing w:line="229" w:lineRule="exact"/>
        <w:ind w:hanging="361"/>
        <w:rPr>
          <w:sz w:val="20"/>
        </w:rPr>
      </w:pPr>
      <w:r>
        <w:rPr>
          <w:sz w:val="20"/>
          <w:lang w:val="cy-GB"/>
        </w:rPr>
        <w:t>Nodi'r materion E</w:t>
      </w:r>
      <w:r>
        <w:rPr>
          <w:sz w:val="20"/>
          <w:lang w:val="cy-GB"/>
        </w:rPr>
        <w:t>SG mwyaf perthnasol,</w:t>
      </w:r>
    </w:p>
    <w:p w14:paraId="264F2279" w14:textId="77777777" w:rsidR="00951A8E" w:rsidRDefault="00F720AC">
      <w:pPr>
        <w:pStyle w:val="ListParagraph"/>
        <w:numPr>
          <w:ilvl w:val="0"/>
          <w:numId w:val="4"/>
        </w:numPr>
        <w:tabs>
          <w:tab w:val="left" w:pos="840"/>
        </w:tabs>
        <w:spacing w:line="229" w:lineRule="exact"/>
        <w:ind w:hanging="361"/>
        <w:rPr>
          <w:sz w:val="20"/>
        </w:rPr>
      </w:pPr>
      <w:r>
        <w:rPr>
          <w:sz w:val="20"/>
          <w:lang w:val="cy-GB"/>
        </w:rPr>
        <w:t>Llunio'r strategaeth ymgysylltu</w:t>
      </w:r>
    </w:p>
    <w:p w14:paraId="44EA325B" w14:textId="77777777" w:rsidR="00951A8E" w:rsidRDefault="00F720AC">
      <w:pPr>
        <w:pStyle w:val="ListParagraph"/>
        <w:numPr>
          <w:ilvl w:val="0"/>
          <w:numId w:val="4"/>
        </w:numPr>
        <w:tabs>
          <w:tab w:val="left" w:pos="840"/>
        </w:tabs>
        <w:ind w:hanging="361"/>
        <w:rPr>
          <w:sz w:val="20"/>
        </w:rPr>
      </w:pPr>
      <w:r>
        <w:rPr>
          <w:sz w:val="20"/>
          <w:lang w:val="cy-GB"/>
        </w:rPr>
        <w:t>Cynyddu pŵer y gweithgarwch ymgysylltu</w:t>
      </w:r>
    </w:p>
    <w:p w14:paraId="679AA1F3" w14:textId="77777777" w:rsidR="00951A8E" w:rsidRDefault="00F720AC">
      <w:pPr>
        <w:pStyle w:val="ListParagraph"/>
        <w:numPr>
          <w:ilvl w:val="0"/>
          <w:numId w:val="4"/>
        </w:numPr>
        <w:tabs>
          <w:tab w:val="left" w:pos="840"/>
        </w:tabs>
        <w:spacing w:before="1"/>
        <w:ind w:hanging="361"/>
        <w:rPr>
          <w:sz w:val="20"/>
        </w:rPr>
      </w:pPr>
      <w:r>
        <w:rPr>
          <w:sz w:val="20"/>
          <w:lang w:val="cy-GB"/>
        </w:rPr>
        <w:t>Ymgysylltu cydweithredol ac ynghylch polisi cyhoeddus</w:t>
      </w:r>
    </w:p>
    <w:p w14:paraId="3243DFC3" w14:textId="77777777" w:rsidR="00951A8E" w:rsidRDefault="00F720AC">
      <w:pPr>
        <w:pStyle w:val="ListParagraph"/>
        <w:numPr>
          <w:ilvl w:val="0"/>
          <w:numId w:val="4"/>
        </w:numPr>
        <w:tabs>
          <w:tab w:val="left" w:pos="840"/>
        </w:tabs>
        <w:ind w:hanging="361"/>
        <w:rPr>
          <w:sz w:val="20"/>
        </w:rPr>
      </w:pPr>
      <w:r>
        <w:rPr>
          <w:sz w:val="20"/>
          <w:lang w:val="cy-GB"/>
        </w:rPr>
        <w:t>Pleidleisio ac</w:t>
      </w:r>
    </w:p>
    <w:p w14:paraId="70EC18AC" w14:textId="77777777" w:rsidR="00951A8E" w:rsidRDefault="00F720AC">
      <w:pPr>
        <w:pStyle w:val="ListParagraph"/>
        <w:numPr>
          <w:ilvl w:val="0"/>
          <w:numId w:val="4"/>
        </w:numPr>
        <w:tabs>
          <w:tab w:val="left" w:pos="840"/>
        </w:tabs>
        <w:spacing w:before="1"/>
        <w:ind w:hanging="361"/>
        <w:rPr>
          <w:sz w:val="20"/>
        </w:rPr>
      </w:pPr>
      <w:r>
        <w:rPr>
          <w:sz w:val="20"/>
          <w:lang w:val="cy-GB"/>
        </w:rPr>
        <w:t>Adrodd i randdeiliaid am weithgarwch.</w:t>
      </w:r>
    </w:p>
    <w:p w14:paraId="2C7B80B6" w14:textId="77777777" w:rsidR="00951A8E" w:rsidRDefault="00951A8E">
      <w:pPr>
        <w:pStyle w:val="BodyText"/>
        <w:spacing w:before="10"/>
        <w:rPr>
          <w:sz w:val="19"/>
        </w:rPr>
      </w:pPr>
    </w:p>
    <w:p w14:paraId="19059445" w14:textId="77777777" w:rsidR="00951A8E" w:rsidRDefault="00F720AC">
      <w:pPr>
        <w:pStyle w:val="BodyText"/>
        <w:ind w:left="119" w:right="230"/>
      </w:pPr>
      <w:r>
        <w:rPr>
          <w:lang w:val="cy-GB"/>
        </w:rPr>
        <w:t xml:space="preserve">Mae LGIM yn monitro sawl agwedd ar ESG ac yn ymgysylltu ynghylch amrywiaeth o faterion. Ei bum maes ymgysylltu pennaf yw newid yn yr hinsawdd, cydnabyddiaeth ariannol, amrywiaeth, cyfansoddiad byrddau a strategaeth. Arweinir gweithgareddau ymgysylltu LGIM </w:t>
      </w:r>
      <w:r>
        <w:rPr>
          <w:lang w:val="cy-GB"/>
        </w:rPr>
        <w:t>gan ymarferwyr ESG proffesiynol ac mae eu hasesiad o'r gofynion yn y meysydd hyn yn ceisio cyflawni'r canlyniad gorau i'w holl gleientiaid.</w:t>
      </w:r>
    </w:p>
    <w:p w14:paraId="0615DFDB" w14:textId="77777777" w:rsidR="00951A8E" w:rsidRDefault="00951A8E">
      <w:pPr>
        <w:pStyle w:val="BodyText"/>
        <w:spacing w:before="2"/>
      </w:pPr>
    </w:p>
    <w:p w14:paraId="10397E4C" w14:textId="77777777" w:rsidR="00951A8E" w:rsidRDefault="00F720AC" w:rsidP="007F6899">
      <w:pPr>
        <w:pStyle w:val="BodyText"/>
        <w:spacing w:line="256" w:lineRule="auto"/>
        <w:ind w:left="120" w:right="119" w:hanging="1"/>
      </w:pPr>
      <w:r>
        <w:rPr>
          <w:lang w:val="cy-GB"/>
        </w:rPr>
        <w:t xml:space="preserve">Ceir rhagor o wybodaeth am bolisi ymgysylltu LGIM yma: </w:t>
      </w:r>
      <w:hyperlink r:id="rId10" w:history="1">
        <w:r>
          <w:rPr>
            <w:color w:val="0562C1"/>
            <w:u w:val="single" w:color="0562C1"/>
            <w:lang w:val="cy-GB"/>
          </w:rPr>
          <w:t>https://www.lgim.com/landg-</w:t>
        </w:r>
      </w:hyperlink>
      <w:r>
        <w:rPr>
          <w:color w:val="0562C1"/>
          <w:lang w:val="cy-GB"/>
        </w:rPr>
        <w:t xml:space="preserve"> </w:t>
      </w:r>
      <w:hyperlink r:id="rId11" w:history="1">
        <w:r>
          <w:rPr>
            <w:color w:val="0562C1"/>
            <w:spacing w:val="-2"/>
            <w:u w:val="single" w:color="0562C1"/>
            <w:lang w:val="cy-GB"/>
          </w:rPr>
          <w:t>assets/lgim/_document-library/capabilities/lgim-engagement-policy.pdf</w:t>
        </w:r>
        <w:r>
          <w:rPr>
            <w:lang w:val="cy-GB"/>
          </w:rPr>
          <w:t>.</w:t>
        </w:r>
      </w:hyperlink>
    </w:p>
    <w:p w14:paraId="08AEE3C2" w14:textId="77777777" w:rsidR="00951A8E" w:rsidRDefault="00F720AC">
      <w:pPr>
        <w:pStyle w:val="BodyText"/>
        <w:spacing w:before="162"/>
        <w:ind w:left="120"/>
      </w:pPr>
      <w:r>
        <w:rPr>
          <w:u w:val="single"/>
          <w:lang w:val="cy-GB"/>
        </w:rPr>
        <w:t>Enghraifft o Ymgysylltu (Lefel Cronfa</w:t>
      </w:r>
      <w:r>
        <w:rPr>
          <w:lang w:val="cy-GB"/>
        </w:rPr>
        <w:t>)</w:t>
      </w:r>
    </w:p>
    <w:p w14:paraId="38643B28" w14:textId="77777777" w:rsidR="00951A8E" w:rsidRDefault="00F720AC" w:rsidP="007F6899">
      <w:pPr>
        <w:pStyle w:val="BodyText"/>
        <w:spacing w:before="178" w:line="259" w:lineRule="auto"/>
        <w:ind w:left="119" w:right="118"/>
      </w:pPr>
      <w:r>
        <w:rPr>
          <w:lang w:val="cy-GB"/>
        </w:rPr>
        <w:t>Mae LGIM wedi ymgysylltu â nifer o gwmnïau cyfleustodau dŵr ynghylch ymwrthedd gwrthficrobaidd (AMR). Mae L</w:t>
      </w:r>
      <w:r>
        <w:rPr>
          <w:lang w:val="cy-GB"/>
        </w:rPr>
        <w:t>GIM yn nodi bod gorddefnyddio sylweddau gwrthficrobaidd mewn gweithgareddau dynol yn aml yn gysylltiedig â rhyddhau cyfryngau gwrthficrobaidd heb reolaeth, sy'n gallu para am gyfnodau hir. Nid yw'r systemau glanweithdra a rheoli dŵr presennol wedi'u dyluni</w:t>
      </w:r>
      <w:r>
        <w:rPr>
          <w:lang w:val="cy-GB"/>
        </w:rPr>
        <w:t>o i fynd i'r afael â phryderon ynghylch AMR.</w:t>
      </w:r>
    </w:p>
    <w:p w14:paraId="783E316A" w14:textId="77777777" w:rsidR="00951A8E" w:rsidRDefault="00F720AC" w:rsidP="007F6899">
      <w:pPr>
        <w:pStyle w:val="BodyText"/>
        <w:spacing w:before="161" w:line="259" w:lineRule="auto"/>
        <w:ind w:left="119" w:right="119"/>
      </w:pPr>
      <w:r>
        <w:rPr>
          <w:lang w:val="cy-GB"/>
        </w:rPr>
        <w:t>Cysylltodd LGIM ag 20 cwmni cyfleustodau dŵr drwy lythyr agored er mwyn deall a oedd y cwmnïau hyn y buddsoddwyd ynddynt yn ymwybodol o'r broblem hon, ac a oedd ganddynt gynlluniau i gyflwyno systemau monitro ef</w:t>
      </w:r>
      <w:r>
        <w:rPr>
          <w:lang w:val="cy-GB"/>
        </w:rPr>
        <w:t xml:space="preserve">feithiol i ganfod cyfryngau megis bacteria a genynnau ag ymwrthedd i wrthfiotigau. Yn ogystal, cynhaliodd LGIM gyfarfodydd gyda rhai o'r cwmnïau, a amlygodd fod ymwybyddiaeth o AMR yn isel yn y rhan fwyaf o wledydd. Cred LGIM fod hyn o ganlyniad i brinder </w:t>
      </w:r>
      <w:r>
        <w:rPr>
          <w:lang w:val="cy-GB"/>
        </w:rPr>
        <w:t>gofynion rheoleiddiol a/neu ganfyddiad isel o'r risgiau posib i'r cwmni unigol.</w:t>
      </w:r>
    </w:p>
    <w:p w14:paraId="04FA9F14" w14:textId="77777777" w:rsidR="00951A8E" w:rsidRDefault="00F720AC" w:rsidP="007F6899">
      <w:pPr>
        <w:pStyle w:val="BodyText"/>
        <w:spacing w:before="159" w:line="259" w:lineRule="auto"/>
        <w:ind w:left="119" w:right="120"/>
      </w:pPr>
      <w:r>
        <w:rPr>
          <w:lang w:val="cy-GB"/>
        </w:rPr>
        <w:t>Yn dilyn ymgysylltu parhaus, mae LGIM yn deall bod nifer o'r cwmnïau y buddsoddwyd ynddynt bellach yn ystyried AMR. Yn benodol, mae un cwmni cyfleustodau'n ceisio deall beth sy</w:t>
      </w:r>
      <w:r>
        <w:rPr>
          <w:lang w:val="cy-GB"/>
        </w:rPr>
        <w:t>'n digwydd i halogyddion sy'n dod i'r amlwg yn y broses trin dŵr gwastraff ac mae wedi rhoi rhaglen ar waith i ddadansoddi'r canlyniadau er mwyn ceisio deall pa welliannau byddai angen eu rhoi ar waith yn eu systemau i ddatrys y broblem. Drwy'r gweithgarwc</w:t>
      </w:r>
      <w:r>
        <w:rPr>
          <w:lang w:val="cy-GB"/>
        </w:rPr>
        <w:t>h ymgysylltu, pwysleisiodd LGIM ei bod hi'n bwysig hyrwyddo ymagwedd uwch a mwy safonol at AMR drwy ddylanwadu ar y dirwedd reoleiddiol. Mae'n gweithio ar hyn gyda'i gymheiriaid yn y fenter Investor Action on Antimicrobial Resistance.</w:t>
      </w:r>
    </w:p>
    <w:p w14:paraId="1DB58794" w14:textId="77777777" w:rsidR="00951A8E" w:rsidRDefault="00951A8E">
      <w:pPr>
        <w:spacing w:line="259" w:lineRule="auto"/>
        <w:jc w:val="both"/>
        <w:sectPr w:rsidR="00951A8E">
          <w:pgSz w:w="11910" w:h="16840"/>
          <w:pgMar w:top="1580" w:right="1320" w:bottom="280" w:left="1320" w:header="720" w:footer="720" w:gutter="0"/>
          <w:cols w:space="720"/>
        </w:sectPr>
      </w:pPr>
    </w:p>
    <w:p w14:paraId="581EECEA" w14:textId="77777777" w:rsidR="00951A8E" w:rsidRDefault="00F720AC">
      <w:pPr>
        <w:pStyle w:val="Heading2"/>
        <w:spacing w:before="81"/>
      </w:pPr>
      <w:r>
        <w:rPr>
          <w:lang w:val="cy-GB"/>
        </w:rPr>
        <w:lastRenderedPageBreak/>
        <w:t xml:space="preserve">Aberdeen Standard Investments (“Abrdn”) – Global Absolute Return Strategy </w:t>
      </w:r>
    </w:p>
    <w:p w14:paraId="3573B708" w14:textId="77777777" w:rsidR="00951A8E" w:rsidRDefault="00951A8E">
      <w:pPr>
        <w:pStyle w:val="BodyText"/>
        <w:spacing w:before="10"/>
        <w:rPr>
          <w:b/>
          <w:sz w:val="19"/>
        </w:rPr>
      </w:pPr>
    </w:p>
    <w:p w14:paraId="33418892" w14:textId="77777777" w:rsidR="00951A8E" w:rsidRDefault="00F720AC">
      <w:pPr>
        <w:pStyle w:val="BodyText"/>
        <w:ind w:left="120"/>
      </w:pPr>
      <w:r>
        <w:rPr>
          <w:u w:val="single"/>
          <w:lang w:val="cy-GB"/>
        </w:rPr>
        <w:t>Pleidleisio</w:t>
      </w:r>
    </w:p>
    <w:p w14:paraId="74211AA2" w14:textId="77777777" w:rsidR="00951A8E" w:rsidRDefault="00951A8E">
      <w:pPr>
        <w:pStyle w:val="BodyText"/>
        <w:rPr>
          <w:sz w:val="12"/>
        </w:rPr>
      </w:pPr>
    </w:p>
    <w:p w14:paraId="3507B1A3" w14:textId="77777777" w:rsidR="00951A8E" w:rsidRDefault="00F720AC" w:rsidP="007F6899">
      <w:pPr>
        <w:pStyle w:val="BodyText"/>
        <w:spacing w:before="93"/>
        <w:ind w:left="119" w:right="117"/>
      </w:pPr>
      <w:r>
        <w:rPr>
          <w:lang w:val="cy-GB"/>
        </w:rPr>
        <w:t>Mae Abrdn yn defnyddio gwasanaethau ISS ar gyfer ei holl ofynion pleidleisio. Mae Abrdn yn ystyried bod pob pleidlais yn arwyddocaol ac mae'n pleidleisio ar yr holl gy</w:t>
      </w:r>
      <w:r>
        <w:rPr>
          <w:lang w:val="cy-GB"/>
        </w:rPr>
        <w:t>franddaliadau y mae ganddo awdurdod pleidleisio amdanynt yn fyd-eang, oni bai bod rhwystrau sylweddol i bleidleisio megis rhwystro cyfranddaliadau. Yn unol â gofynion y Pensions and Lifetime Savings Associaton ("PLSA"), mae Abrdn yn nodi ac yn cofnodi'r pl</w:t>
      </w:r>
      <w:r>
        <w:rPr>
          <w:lang w:val="cy-GB"/>
        </w:rPr>
        <w:t>eidleisiau y mae'n tybio mai dyma'r rhai mwyaf arwyddocaol ar draws ei holl ddaliadau. Mae Abrdn wedi nodi pum categori o bleidleisiau y mae'n ystyried eu bod yn arwyddocaol ac mae wedi rhoi'r rhain yn eu trefn ar sail ei farn am eu pwysigrwydd. Y pum cate</w:t>
      </w:r>
      <w:r>
        <w:rPr>
          <w:lang w:val="cy-GB"/>
        </w:rPr>
        <w:t>gori yw:</w:t>
      </w:r>
    </w:p>
    <w:p w14:paraId="03368C91" w14:textId="77777777" w:rsidR="00951A8E" w:rsidRDefault="00951A8E">
      <w:pPr>
        <w:pStyle w:val="BodyText"/>
        <w:spacing w:before="1"/>
      </w:pPr>
    </w:p>
    <w:p w14:paraId="5EBB3BB0" w14:textId="77777777" w:rsidR="00951A8E" w:rsidRDefault="00F720AC" w:rsidP="007F6899">
      <w:pPr>
        <w:pStyle w:val="ListParagraph"/>
        <w:numPr>
          <w:ilvl w:val="0"/>
          <w:numId w:val="3"/>
        </w:numPr>
        <w:tabs>
          <w:tab w:val="left" w:pos="840"/>
        </w:tabs>
        <w:ind w:right="121"/>
        <w:rPr>
          <w:sz w:val="20"/>
        </w:rPr>
      </w:pPr>
      <w:r>
        <w:rPr>
          <w:sz w:val="20"/>
          <w:lang w:val="cy-GB"/>
        </w:rPr>
        <w:t>Pleidleisiau Proffil Uchel: pleidleisiau sy'n ennyn diddordeb y cyhoedd a'r wasg, yn adlewyrchu pryderon llywodraethu sylweddol ynghylch y cwmni neu gynigion a gyflwynir gan Abrdn</w:t>
      </w:r>
    </w:p>
    <w:p w14:paraId="4FEDC4CD" w14:textId="77777777" w:rsidR="00951A8E" w:rsidRDefault="00951A8E">
      <w:pPr>
        <w:pStyle w:val="BodyText"/>
        <w:spacing w:before="10"/>
        <w:rPr>
          <w:sz w:val="19"/>
        </w:rPr>
      </w:pPr>
    </w:p>
    <w:p w14:paraId="6FA3D299" w14:textId="77777777" w:rsidR="00951A8E" w:rsidRDefault="00F720AC" w:rsidP="007F6899">
      <w:pPr>
        <w:pStyle w:val="ListParagraph"/>
        <w:numPr>
          <w:ilvl w:val="0"/>
          <w:numId w:val="3"/>
        </w:numPr>
        <w:tabs>
          <w:tab w:val="left" w:pos="840"/>
        </w:tabs>
        <w:ind w:right="120" w:hanging="360"/>
        <w:rPr>
          <w:sz w:val="20"/>
        </w:rPr>
      </w:pPr>
      <w:r>
        <w:rPr>
          <w:sz w:val="20"/>
          <w:lang w:val="cy-GB"/>
        </w:rPr>
        <w:t>Cynigion Amgylcheddol a Chymdeithasol Cyfranddalwyr: pleidleisiau</w:t>
      </w:r>
      <w:r>
        <w:rPr>
          <w:sz w:val="20"/>
          <w:lang w:val="cy-GB"/>
        </w:rPr>
        <w:t xml:space="preserve"> ar gynigion amgylcheddol a chymdeithasol cyfranddalwyr lle mae'r cynigiwr neu'r cwmni ar y cynnig yn pleidleisio ar gynigion amgylcheddol a chymdeithasol a gyflwynir gan reolwyr neu gyfranddalwyr, lle mae Abrdn wedi pleidleisio yn groes i argymhellion rhe</w:t>
      </w:r>
      <w:r>
        <w:rPr>
          <w:sz w:val="20"/>
          <w:lang w:val="cy-GB"/>
        </w:rPr>
        <w:t>olwyr.</w:t>
      </w:r>
    </w:p>
    <w:p w14:paraId="7AD32786" w14:textId="77777777" w:rsidR="00951A8E" w:rsidRDefault="00951A8E">
      <w:pPr>
        <w:pStyle w:val="BodyText"/>
        <w:spacing w:before="3"/>
      </w:pPr>
    </w:p>
    <w:p w14:paraId="11A027E8" w14:textId="77777777" w:rsidR="00951A8E" w:rsidRDefault="00F720AC" w:rsidP="007F6899">
      <w:pPr>
        <w:pStyle w:val="ListParagraph"/>
        <w:numPr>
          <w:ilvl w:val="0"/>
          <w:numId w:val="3"/>
        </w:numPr>
        <w:tabs>
          <w:tab w:val="left" w:pos="840"/>
        </w:tabs>
        <w:ind w:right="119"/>
        <w:rPr>
          <w:sz w:val="20"/>
        </w:rPr>
      </w:pPr>
      <w:r>
        <w:rPr>
          <w:sz w:val="20"/>
          <w:lang w:val="cy-GB"/>
        </w:rPr>
        <w:t>Ymgysylltu: lle mae Abrdn wedi ymgysylltu â'r cwmni ynghylch cynnig neu lle mae Abdrn wedi pleidleisio, ar ôl yr ymgysylltu, yn groes i'w bolisi arferol</w:t>
      </w:r>
    </w:p>
    <w:p w14:paraId="4827BC3C" w14:textId="77777777" w:rsidR="00951A8E" w:rsidRDefault="00951A8E">
      <w:pPr>
        <w:pStyle w:val="BodyText"/>
        <w:spacing w:before="10"/>
        <w:rPr>
          <w:sz w:val="19"/>
        </w:rPr>
      </w:pPr>
    </w:p>
    <w:p w14:paraId="376D122E" w14:textId="77777777" w:rsidR="00951A8E" w:rsidRDefault="00F720AC" w:rsidP="007F6899">
      <w:pPr>
        <w:pStyle w:val="ListParagraph"/>
        <w:numPr>
          <w:ilvl w:val="0"/>
          <w:numId w:val="3"/>
        </w:numPr>
        <w:tabs>
          <w:tab w:val="left" w:pos="841"/>
        </w:tabs>
        <w:ind w:left="840" w:right="119"/>
        <w:rPr>
          <w:sz w:val="20"/>
        </w:rPr>
      </w:pPr>
      <w:r>
        <w:rPr>
          <w:sz w:val="20"/>
          <w:lang w:val="cy-GB"/>
        </w:rPr>
        <w:t>Gweithrediadau Corfforaethol: pleidleisiau etholedig sy'n cael effaith ariannol ar y buddsoddi</w:t>
      </w:r>
      <w:r>
        <w:rPr>
          <w:sz w:val="20"/>
          <w:lang w:val="cy-GB"/>
        </w:rPr>
        <w:t>ad â phwyslais ar gaffaeliadau</w:t>
      </w:r>
    </w:p>
    <w:p w14:paraId="6E5F3404" w14:textId="77777777" w:rsidR="00951A8E" w:rsidRDefault="00951A8E">
      <w:pPr>
        <w:pStyle w:val="BodyText"/>
        <w:spacing w:before="11"/>
        <w:rPr>
          <w:sz w:val="19"/>
        </w:rPr>
      </w:pPr>
    </w:p>
    <w:p w14:paraId="555B7E54" w14:textId="77777777" w:rsidR="00951A8E" w:rsidRDefault="00F720AC" w:rsidP="007F6899">
      <w:pPr>
        <w:pStyle w:val="ListParagraph"/>
        <w:numPr>
          <w:ilvl w:val="0"/>
          <w:numId w:val="3"/>
        </w:numPr>
        <w:tabs>
          <w:tab w:val="left" w:pos="841"/>
        </w:tabs>
        <w:ind w:left="840" w:right="121"/>
        <w:rPr>
          <w:sz w:val="20"/>
        </w:rPr>
      </w:pPr>
      <w:r>
        <w:rPr>
          <w:sz w:val="20"/>
          <w:lang w:val="cy-GB"/>
        </w:rPr>
        <w:t>Pleidleisiau sy'n groes i bolisi arferol: daliadau gweithredol mawr lle mae Abrdn wedi pleidleisio'n groes i bolisi arferol yn dilyn gwaith dadansoddi</w:t>
      </w:r>
    </w:p>
    <w:p w14:paraId="320A468A" w14:textId="77777777" w:rsidR="00951A8E" w:rsidRDefault="00951A8E">
      <w:pPr>
        <w:pStyle w:val="BodyText"/>
        <w:spacing w:before="11"/>
        <w:rPr>
          <w:sz w:val="19"/>
        </w:rPr>
      </w:pPr>
    </w:p>
    <w:p w14:paraId="4F40F6CC" w14:textId="77777777" w:rsidR="00951A8E" w:rsidRDefault="00F720AC">
      <w:pPr>
        <w:pStyle w:val="BodyText"/>
        <w:ind w:left="120"/>
        <w:jc w:val="both"/>
      </w:pPr>
      <w:r>
        <w:rPr>
          <w:u w:val="single"/>
          <w:lang w:val="cy-GB"/>
        </w:rPr>
        <w:t>Enghraifft o bleidleisio</w:t>
      </w:r>
    </w:p>
    <w:p w14:paraId="0A48C1B6" w14:textId="77777777" w:rsidR="00951A8E" w:rsidRDefault="00951A8E">
      <w:pPr>
        <w:pStyle w:val="BodyText"/>
        <w:rPr>
          <w:sz w:val="12"/>
        </w:rPr>
      </w:pPr>
    </w:p>
    <w:p w14:paraId="243C0F2D" w14:textId="77777777" w:rsidR="00951A8E" w:rsidRDefault="00F720AC" w:rsidP="007F6899">
      <w:pPr>
        <w:pStyle w:val="BodyText"/>
        <w:spacing w:before="93"/>
        <w:ind w:left="120" w:right="119"/>
      </w:pPr>
      <w:r>
        <w:rPr>
          <w:lang w:val="cy-GB"/>
        </w:rPr>
        <w:t>Ym mis Tachwedd 2021, pleidleisiodd Abrdn yn erbyn tîm rheoli Microsoft ond o blaid cynnig gan y cyfranddalwyr ynghylch adrodd am y bwlch cyflog rhwng y rhywiau a'r hiliau. Mae Abrdn yn cydnabod, er bod y cwmni’n adrodd am ei ymrwymiadau i gyflog cyfartal,</w:t>
      </w:r>
      <w:r>
        <w:rPr>
          <w:lang w:val="cy-GB"/>
        </w:rPr>
        <w:t xml:space="preserve"> gallai data mwy cyson gynyddu atebolrwydd am ymdrechion amrywiaeth a rhoi gwybodaeth ddefnyddiol i gyfranddalwyr ynghylch pa mor effeithiol y mae'r rheolwyr yn asesu risgiau i'w lliniaru a all ddeillio o drin gweithwyr yn anghyfartal. Mae Abrdn yn ystyrie</w:t>
      </w:r>
      <w:r>
        <w:rPr>
          <w:lang w:val="cy-GB"/>
        </w:rPr>
        <w:t>d bod y bleidlais hon yn arwyddocaol oherwydd mai cynnig gan gyfranddalwyr am ffactorau cymdeithasol oedd y bleidlais a'i bod yn erbyn y rheolwyr.</w:t>
      </w:r>
    </w:p>
    <w:p w14:paraId="2F1F03B2" w14:textId="77777777" w:rsidR="00951A8E" w:rsidRDefault="00951A8E">
      <w:pPr>
        <w:pStyle w:val="BodyText"/>
        <w:rPr>
          <w:sz w:val="22"/>
        </w:rPr>
      </w:pPr>
    </w:p>
    <w:p w14:paraId="53DD8F0B" w14:textId="77777777" w:rsidR="00951A8E" w:rsidRDefault="00951A8E">
      <w:pPr>
        <w:pStyle w:val="BodyText"/>
        <w:spacing w:before="10"/>
        <w:rPr>
          <w:sz w:val="17"/>
        </w:rPr>
      </w:pPr>
    </w:p>
    <w:p w14:paraId="75C5687E" w14:textId="77777777" w:rsidR="00951A8E" w:rsidRDefault="00F720AC">
      <w:pPr>
        <w:pStyle w:val="BodyText"/>
        <w:ind w:left="120"/>
      </w:pPr>
      <w:r>
        <w:rPr>
          <w:u w:val="single"/>
          <w:lang w:val="cy-GB"/>
        </w:rPr>
        <w:t>Ymgysylltu</w:t>
      </w:r>
    </w:p>
    <w:p w14:paraId="31469F43" w14:textId="77777777" w:rsidR="00951A8E" w:rsidRDefault="00951A8E">
      <w:pPr>
        <w:pStyle w:val="BodyText"/>
        <w:rPr>
          <w:sz w:val="12"/>
        </w:rPr>
      </w:pPr>
    </w:p>
    <w:p w14:paraId="7D589FFB" w14:textId="77777777" w:rsidR="00951A8E" w:rsidRDefault="00F720AC" w:rsidP="007F6899">
      <w:pPr>
        <w:pStyle w:val="BodyText"/>
        <w:spacing w:before="93"/>
        <w:ind w:left="120" w:right="118"/>
      </w:pPr>
      <w:r>
        <w:rPr>
          <w:lang w:val="cy-GB"/>
        </w:rPr>
        <w:t>Mae Abrdn yn ceisio cadw mewn cysylltiad agos â'r cwmnïau a'r asedau mae'n buddsoddi ynddynt. M</w:t>
      </w:r>
      <w:r>
        <w:rPr>
          <w:lang w:val="cy-GB"/>
        </w:rPr>
        <w:t>ae Abrdn yn cynnal cyfarfodydd rheolaidd fel rhan o'i raglen ymgysylltu er mwyn trafod materion ESG perthnasol, gan gynnwys meysydd megis strategaeth a pherfformiad, rheoli risgiau, cyfansoddiad byrddau, cydnabyddiaeth ariannol, archwiliad, newid yn yr hin</w:t>
      </w:r>
      <w:r>
        <w:rPr>
          <w:lang w:val="cy-GB"/>
        </w:rPr>
        <w:t>sawdd, materion llafur, amrywiaeth a chynhwysiant, hawliau dynol, llwgrwobrwyo a llygredd.</w:t>
      </w:r>
    </w:p>
    <w:p w14:paraId="4BFE6DCC" w14:textId="77777777" w:rsidR="00951A8E" w:rsidRDefault="00951A8E">
      <w:pPr>
        <w:pStyle w:val="BodyText"/>
      </w:pPr>
    </w:p>
    <w:p w14:paraId="7AC710A2" w14:textId="77777777" w:rsidR="00951A8E" w:rsidRDefault="00F720AC" w:rsidP="007F6899">
      <w:pPr>
        <w:pStyle w:val="BodyText"/>
        <w:ind w:left="119" w:right="117"/>
      </w:pPr>
      <w:r>
        <w:rPr>
          <w:lang w:val="cy-GB"/>
        </w:rPr>
        <w:t>Mae gweithgarwch ymgysylltu Abrdn yn cynnwys pedwar categori, sef adolygu, ymateb, gwella a thematig. Mae gweithgarwch 'adolygu'n' rhan o'i ddiwydrwydd dyladwy parh</w:t>
      </w:r>
      <w:r>
        <w:rPr>
          <w:lang w:val="cy-GB"/>
        </w:rPr>
        <w:t>aus a rhyngweithiadau rheolaidd dan arweiniad y dadansoddwr sy'n gyfrifol am gadw trosolwg o'r buddsoddiad. Fel arfer, bydd aelodau eraill o dimau buddsoddi perthnasol yn bresennol. Mae'r gweithgarwch 'ymateb' yn galluogi Abrdn i ymateb i ddigwyddiad a all</w:t>
      </w:r>
      <w:r>
        <w:rPr>
          <w:lang w:val="cy-GB"/>
        </w:rPr>
        <w:t xml:space="preserve"> effeithio ar fuddsoddiad unigol neu ddetholiad o fuddsoddiadau tebyg. Nod y gweithgarwch 'gwella' yw ceisio newid a fyddai, ym marn Abrdn, yn gwella gwerth ei fuddsoddiad. Yn olaf, mae gweithgarwch 'thematig' yn deillio o'i bwyslais ar thema ESG benodol, </w:t>
      </w:r>
      <w:r>
        <w:rPr>
          <w:lang w:val="cy-GB"/>
        </w:rPr>
        <w:t>megis newid yn yr hinsawdd, amrywiaeth a chynhwysiant neu gaethwasiaeth fodern.</w:t>
      </w:r>
    </w:p>
    <w:p w14:paraId="41D61BC6" w14:textId="77777777" w:rsidR="00951A8E" w:rsidRDefault="00951A8E">
      <w:pPr>
        <w:pStyle w:val="BodyText"/>
      </w:pPr>
    </w:p>
    <w:p w14:paraId="4DF45DC2" w14:textId="77777777" w:rsidR="00951A8E" w:rsidRDefault="00F720AC">
      <w:pPr>
        <w:pStyle w:val="BodyText"/>
        <w:ind w:left="119"/>
      </w:pPr>
      <w:r>
        <w:rPr>
          <w:lang w:val="cy-GB"/>
        </w:rPr>
        <w:t>Mae Abrdn yn cofnodi pryderon a materion a godir gyda'i fuddsoddiadau a fframweithiau penodedig erbyn pryd mae'n disgwyl i'w bryderon gael eu datrys. I wneud hyn mae Abdrn wed</w:t>
      </w:r>
      <w:r>
        <w:rPr>
          <w:lang w:val="cy-GB"/>
        </w:rPr>
        <w:t>i diffinio camau cylch bywyd ar gyfer ei bryderon:</w:t>
      </w:r>
    </w:p>
    <w:p w14:paraId="32BDCBB8" w14:textId="77777777" w:rsidR="00951A8E" w:rsidRDefault="00F720AC">
      <w:pPr>
        <w:pStyle w:val="ListParagraph"/>
        <w:numPr>
          <w:ilvl w:val="0"/>
          <w:numId w:val="2"/>
        </w:numPr>
        <w:tabs>
          <w:tab w:val="left" w:pos="840"/>
        </w:tabs>
        <w:spacing w:before="1"/>
        <w:ind w:hanging="361"/>
        <w:rPr>
          <w:sz w:val="20"/>
        </w:rPr>
      </w:pPr>
      <w:r>
        <w:rPr>
          <w:sz w:val="20"/>
          <w:lang w:val="cy-GB"/>
        </w:rPr>
        <w:t>Nodi</w:t>
      </w:r>
    </w:p>
    <w:p w14:paraId="363D2F6E" w14:textId="77777777" w:rsidR="00951A8E" w:rsidRDefault="00F720AC">
      <w:pPr>
        <w:pStyle w:val="ListParagraph"/>
        <w:numPr>
          <w:ilvl w:val="0"/>
          <w:numId w:val="2"/>
        </w:numPr>
        <w:tabs>
          <w:tab w:val="left" w:pos="840"/>
        </w:tabs>
        <w:spacing w:before="1"/>
        <w:ind w:hanging="361"/>
        <w:rPr>
          <w:sz w:val="20"/>
        </w:rPr>
      </w:pPr>
      <w:r>
        <w:rPr>
          <w:sz w:val="20"/>
          <w:lang w:val="cy-GB"/>
        </w:rPr>
        <w:t>Cydnabod</w:t>
      </w:r>
    </w:p>
    <w:p w14:paraId="645163C7" w14:textId="77777777" w:rsidR="00951A8E" w:rsidRDefault="00F720AC">
      <w:pPr>
        <w:pStyle w:val="ListParagraph"/>
        <w:numPr>
          <w:ilvl w:val="0"/>
          <w:numId w:val="2"/>
        </w:numPr>
        <w:tabs>
          <w:tab w:val="left" w:pos="840"/>
        </w:tabs>
        <w:ind w:hanging="361"/>
        <w:rPr>
          <w:sz w:val="20"/>
        </w:rPr>
      </w:pPr>
      <w:r>
        <w:rPr>
          <w:sz w:val="20"/>
          <w:lang w:val="cy-GB"/>
        </w:rPr>
        <w:t>Cynllunio</w:t>
      </w:r>
    </w:p>
    <w:p w14:paraId="216DBAD0" w14:textId="77777777" w:rsidR="00951A8E" w:rsidRDefault="00951A8E">
      <w:pPr>
        <w:rPr>
          <w:sz w:val="20"/>
        </w:rPr>
        <w:sectPr w:rsidR="00951A8E">
          <w:pgSz w:w="11910" w:h="16840"/>
          <w:pgMar w:top="1340" w:right="1320" w:bottom="280" w:left="1320" w:header="720" w:footer="720" w:gutter="0"/>
          <w:cols w:space="720"/>
        </w:sectPr>
      </w:pPr>
    </w:p>
    <w:p w14:paraId="09A47829" w14:textId="77777777" w:rsidR="00951A8E" w:rsidRDefault="00F720AC">
      <w:pPr>
        <w:pStyle w:val="ListParagraph"/>
        <w:numPr>
          <w:ilvl w:val="0"/>
          <w:numId w:val="2"/>
        </w:numPr>
        <w:tabs>
          <w:tab w:val="left" w:pos="840"/>
        </w:tabs>
        <w:spacing w:before="81"/>
        <w:rPr>
          <w:sz w:val="20"/>
        </w:rPr>
      </w:pPr>
      <w:r>
        <w:rPr>
          <w:sz w:val="20"/>
          <w:lang w:val="cy-GB"/>
        </w:rPr>
        <w:lastRenderedPageBreak/>
        <w:t>Gweithredu</w:t>
      </w:r>
    </w:p>
    <w:p w14:paraId="05A27206" w14:textId="77777777" w:rsidR="00951A8E" w:rsidRDefault="00F720AC">
      <w:pPr>
        <w:pStyle w:val="ListParagraph"/>
        <w:numPr>
          <w:ilvl w:val="0"/>
          <w:numId w:val="2"/>
        </w:numPr>
        <w:tabs>
          <w:tab w:val="left" w:pos="840"/>
        </w:tabs>
        <w:spacing w:line="229" w:lineRule="exact"/>
        <w:ind w:hanging="361"/>
        <w:rPr>
          <w:sz w:val="20"/>
        </w:rPr>
      </w:pPr>
      <w:r>
        <w:rPr>
          <w:sz w:val="20"/>
          <w:lang w:val="cy-GB"/>
        </w:rPr>
        <w:t>Cau</w:t>
      </w:r>
    </w:p>
    <w:p w14:paraId="43FCFB57" w14:textId="77777777" w:rsidR="00951A8E" w:rsidRDefault="00F720AC">
      <w:pPr>
        <w:pStyle w:val="BodyText"/>
        <w:ind w:left="120" w:right="1611" w:hanging="1"/>
      </w:pPr>
      <w:r>
        <w:rPr>
          <w:lang w:val="cy-GB"/>
        </w:rPr>
        <w:t xml:space="preserve">Ceir rhagor o wybodaeth am bolisïau pleidleisio ac ymgysylltu Abrdb yma: </w:t>
      </w:r>
      <w:hyperlink r:id="rId12" w:history="1">
        <w:r>
          <w:rPr>
            <w:color w:val="0562C1"/>
            <w:spacing w:val="-2"/>
            <w:u w:val="single" w:color="0562C1"/>
            <w:lang w:val="cy-GB"/>
          </w:rPr>
          <w:t>https://www.abrdn.com/docs?editionId=50636955-103f-47cb-86e2-</w:t>
        </w:r>
      </w:hyperlink>
      <w:r>
        <w:rPr>
          <w:color w:val="0562C1"/>
          <w:spacing w:val="-2"/>
          <w:lang w:val="cy-GB"/>
        </w:rPr>
        <w:t xml:space="preserve"> </w:t>
      </w:r>
      <w:hyperlink r:id="rId13" w:history="1">
        <w:r>
          <w:rPr>
            <w:color w:val="0562C1"/>
            <w:spacing w:val="-2"/>
            <w:u w:val="single" w:color="0562C1"/>
            <w:lang w:val="cy-GB"/>
          </w:rPr>
          <w:t>036aec4d30d4&amp;_ga=2.3007792.1084981515.1625754520-1358126225.1625589512</w:t>
        </w:r>
      </w:hyperlink>
    </w:p>
    <w:p w14:paraId="5B43040F" w14:textId="77777777" w:rsidR="00951A8E" w:rsidRDefault="00951A8E">
      <w:pPr>
        <w:pStyle w:val="BodyText"/>
        <w:rPr>
          <w:sz w:val="12"/>
        </w:rPr>
      </w:pPr>
    </w:p>
    <w:p w14:paraId="34FF89EB" w14:textId="77777777" w:rsidR="00951A8E" w:rsidRDefault="00F720AC">
      <w:pPr>
        <w:pStyle w:val="BodyText"/>
        <w:spacing w:before="93"/>
        <w:ind w:left="120"/>
      </w:pPr>
      <w:r>
        <w:rPr>
          <w:u w:val="single"/>
          <w:lang w:val="cy-GB"/>
        </w:rPr>
        <w:t xml:space="preserve">Enghraifft </w:t>
      </w:r>
      <w:r>
        <w:rPr>
          <w:u w:val="single"/>
          <w:lang w:val="cy-GB"/>
        </w:rPr>
        <w:t>o ymgysylltu (lefel cwmni</w:t>
      </w:r>
      <w:r>
        <w:rPr>
          <w:lang w:val="cy-GB"/>
        </w:rPr>
        <w:t>)</w:t>
      </w:r>
    </w:p>
    <w:p w14:paraId="4A5AC760" w14:textId="77777777" w:rsidR="00951A8E" w:rsidRDefault="00951A8E">
      <w:pPr>
        <w:pStyle w:val="BodyText"/>
        <w:spacing w:before="9"/>
        <w:rPr>
          <w:sz w:val="11"/>
        </w:rPr>
      </w:pPr>
    </w:p>
    <w:p w14:paraId="179F80E6" w14:textId="77777777" w:rsidR="00951A8E" w:rsidRDefault="00F720AC" w:rsidP="007F6899">
      <w:pPr>
        <w:pStyle w:val="BodyText"/>
        <w:spacing w:before="93"/>
        <w:ind w:left="120" w:right="120"/>
      </w:pPr>
      <w:r>
        <w:rPr>
          <w:lang w:val="cy-GB"/>
        </w:rPr>
        <w:t>Bu Abrdn yn ymgysylltu'n rheolaidd â General Motors ("GM"), gweithgynhyrchwr ceir, drwy gydol 2020 a 2021. Yn nhrydydd chwarter 2021, bu Abrdn yn ymgysylltu â'r cwmni i ofyn sut mae'r cwmni'n sicrhau amrywiaeth a chynhwysiant yn</w:t>
      </w:r>
      <w:r>
        <w:rPr>
          <w:lang w:val="cy-GB"/>
        </w:rPr>
        <w:t xml:space="preserve"> ei fusnes. Roedd y cyswllt yn uniongyrchol gyda'r cwmni a chyda rhanddeiliaid amrywiol ar draws y busnes, gan gynnwys Cysylltiadau â Buddsoddwyr a'r Uwch-reolwyr.</w:t>
      </w:r>
    </w:p>
    <w:p w14:paraId="5D20B4EB" w14:textId="77777777" w:rsidR="00951A8E" w:rsidRDefault="00951A8E">
      <w:pPr>
        <w:pStyle w:val="BodyText"/>
        <w:spacing w:before="2"/>
      </w:pPr>
    </w:p>
    <w:p w14:paraId="4AC99282" w14:textId="77777777" w:rsidR="00951A8E" w:rsidRDefault="00F720AC" w:rsidP="007F6899">
      <w:pPr>
        <w:pStyle w:val="BodyText"/>
        <w:ind w:left="119" w:right="118"/>
      </w:pPr>
      <w:r>
        <w:rPr>
          <w:lang w:val="cy-GB"/>
        </w:rPr>
        <w:t>Yn sgîl y gweithgarwch hwn, ymrwymodd GM i ddatgelu ei ddata am gyfle cyfartal mewn cyfloga</w:t>
      </w:r>
      <w:r>
        <w:rPr>
          <w:lang w:val="cy-GB"/>
        </w:rPr>
        <w:t>eth ("EEO-1") yn 2022. Yn ogystal, darganfu Abdrn fod Bwrdd Cynghori ar Gynhwysiant GM wedi'i gomisiynu, ochr yn ochr â phenodi Pennaeth Amrywiaeth a Chynhwysiant i oruchwylio ymrwymiadau GM i grwpiau amrywiaeth y diwydiant a'i aelodaeth o'r grwpiau hyn.</w:t>
      </w:r>
    </w:p>
    <w:p w14:paraId="320657B9" w14:textId="77777777" w:rsidR="00951A8E" w:rsidRDefault="00951A8E">
      <w:pPr>
        <w:pStyle w:val="BodyText"/>
        <w:rPr>
          <w:sz w:val="22"/>
        </w:rPr>
      </w:pPr>
    </w:p>
    <w:p w14:paraId="38602D86" w14:textId="77777777" w:rsidR="00951A8E" w:rsidRDefault="00951A8E">
      <w:pPr>
        <w:pStyle w:val="BodyText"/>
        <w:spacing w:before="1"/>
        <w:rPr>
          <w:sz w:val="18"/>
        </w:rPr>
      </w:pPr>
    </w:p>
    <w:p w14:paraId="5CBF34EF" w14:textId="77777777" w:rsidR="00951A8E" w:rsidRDefault="00F720AC">
      <w:pPr>
        <w:pStyle w:val="Heading1"/>
      </w:pPr>
      <w:r>
        <w:rPr>
          <w:lang w:val="cy-GB"/>
        </w:rPr>
        <w:t>Gweithgarwch ymgysylltu - cronfeydd incwm sefydlog</w:t>
      </w:r>
    </w:p>
    <w:p w14:paraId="2E5EAB10" w14:textId="7A638AE2" w:rsidR="00951A8E" w:rsidRDefault="00F720AC" w:rsidP="007F6899">
      <w:pPr>
        <w:pStyle w:val="BodyText"/>
        <w:spacing w:before="227"/>
        <w:ind w:left="119" w:right="118"/>
      </w:pPr>
      <w:r>
        <w:rPr>
          <w:lang w:val="cy-GB"/>
        </w:rPr>
        <w:t>Er nad yw hawliau pleidleisio'n berthnasol i fandadau nad ydynt yn gysylltiedig ag ecwiti, mae'r Ymddiriedolwyr yn cydnabod bod gan fuddsoddwyr allu arwyddocaol i ymgysylltu â dyroddwyr dyled. Mae ariannu</w:t>
      </w:r>
      <w:r>
        <w:rPr>
          <w:lang w:val="cy-GB"/>
        </w:rPr>
        <w:t xml:space="preserve"> dyled yn barhaus, felly mae o fudd i ddyroddwyr dyled sicrhau bod buddsoddwyr yn hapus â chyfeiriad strategol a pholisïau'r dyroddwr. Er y gall y potensial i gael elw (</w:t>
      </w:r>
      <w:r>
        <w:rPr>
          <w:i/>
          <w:iCs/>
          <w:lang w:val="cy-GB"/>
        </w:rPr>
        <w:t>upside po</w:t>
      </w:r>
      <w:r w:rsidR="007F6899">
        <w:rPr>
          <w:i/>
          <w:iCs/>
          <w:lang w:val="cy-GB"/>
        </w:rPr>
        <w:t>t</w:t>
      </w:r>
      <w:r>
        <w:rPr>
          <w:i/>
          <w:iCs/>
          <w:lang w:val="cy-GB"/>
        </w:rPr>
        <w:t xml:space="preserve">ential) </w:t>
      </w:r>
      <w:r>
        <w:rPr>
          <w:lang w:val="cy-GB"/>
        </w:rPr>
        <w:t>fod yn gyfyngedig o'i gymharu ag ecwitïau, mae lliniaru risgiau dirywi</w:t>
      </w:r>
      <w:r>
        <w:rPr>
          <w:lang w:val="cy-GB"/>
        </w:rPr>
        <w:t>ad ac ansawdd credyd yn rhannau hanfodol o'r broses penderfynu ar fuddsoddiadau.</w:t>
      </w:r>
    </w:p>
    <w:p w14:paraId="00D5506B" w14:textId="77777777" w:rsidR="00951A8E" w:rsidRDefault="00951A8E">
      <w:pPr>
        <w:pStyle w:val="BodyText"/>
        <w:spacing w:before="1"/>
      </w:pPr>
    </w:p>
    <w:p w14:paraId="127AD6EA" w14:textId="77777777" w:rsidR="00951A8E" w:rsidRDefault="00F720AC" w:rsidP="007F6899">
      <w:pPr>
        <w:pStyle w:val="BodyText"/>
        <w:ind w:left="119" w:right="123"/>
      </w:pPr>
      <w:r>
        <w:rPr>
          <w:lang w:val="cy-GB"/>
        </w:rPr>
        <w:t>Mae'r enghreifftiau canlynol yn dangos rhai o'r gweithgareddau ymgysylltu gan reolwyr incwm sefydlog y Cynllun dros y flwyddyn ddiwethaf.</w:t>
      </w:r>
    </w:p>
    <w:p w14:paraId="0D9391C6" w14:textId="77777777" w:rsidR="00951A8E" w:rsidRDefault="00951A8E">
      <w:pPr>
        <w:pStyle w:val="BodyText"/>
        <w:spacing w:before="1"/>
      </w:pPr>
    </w:p>
    <w:p w14:paraId="714C11D6" w14:textId="77777777" w:rsidR="00951A8E" w:rsidRDefault="00F720AC">
      <w:pPr>
        <w:ind w:left="120"/>
        <w:jc w:val="both"/>
        <w:rPr>
          <w:b/>
          <w:sz w:val="20"/>
        </w:rPr>
      </w:pPr>
      <w:r>
        <w:rPr>
          <w:b/>
          <w:bCs/>
          <w:sz w:val="20"/>
          <w:lang w:val="cy-GB"/>
        </w:rPr>
        <w:t xml:space="preserve">Insight </w:t>
      </w:r>
      <w:r>
        <w:rPr>
          <w:rFonts w:ascii="Calibri" w:hAnsi="Calibri"/>
          <w:b/>
          <w:bCs/>
          <w:lang w:val="cy-GB"/>
        </w:rPr>
        <w:t xml:space="preserve">Investment (“Insight”) - </w:t>
      </w:r>
      <w:r>
        <w:rPr>
          <w:b/>
          <w:bCs/>
          <w:sz w:val="20"/>
          <w:lang w:val="cy-GB"/>
        </w:rPr>
        <w:t>Bond Plus Fund</w:t>
      </w:r>
    </w:p>
    <w:p w14:paraId="0E552A15" w14:textId="77777777" w:rsidR="00951A8E" w:rsidRDefault="00951A8E">
      <w:pPr>
        <w:pStyle w:val="BodyText"/>
        <w:spacing w:before="9"/>
        <w:rPr>
          <w:b/>
          <w:sz w:val="19"/>
        </w:rPr>
      </w:pPr>
    </w:p>
    <w:p w14:paraId="743C0FB6" w14:textId="77777777" w:rsidR="00951A8E" w:rsidRDefault="00F720AC">
      <w:pPr>
        <w:pStyle w:val="BodyText"/>
        <w:ind w:left="120"/>
      </w:pPr>
      <w:r>
        <w:rPr>
          <w:u w:val="single"/>
          <w:lang w:val="cy-GB"/>
        </w:rPr>
        <w:t>Ymgysylltu</w:t>
      </w:r>
    </w:p>
    <w:p w14:paraId="3F33C023" w14:textId="77777777" w:rsidR="00951A8E" w:rsidRDefault="00951A8E">
      <w:pPr>
        <w:pStyle w:val="BodyText"/>
        <w:rPr>
          <w:sz w:val="12"/>
        </w:rPr>
      </w:pPr>
    </w:p>
    <w:p w14:paraId="3F5EE4D8" w14:textId="77777777" w:rsidR="00951A8E" w:rsidRDefault="00F720AC" w:rsidP="007F6899">
      <w:pPr>
        <w:pStyle w:val="BodyText"/>
        <w:spacing w:before="93"/>
        <w:ind w:left="119" w:right="118"/>
      </w:pPr>
      <w:r>
        <w:rPr>
          <w:lang w:val="cy-GB"/>
        </w:rPr>
        <w:t>Mae Insight yn ymwneud yn rhagweithiol â materion diwydiant a rheoleiddiol sydd â goblygiadau ar gyfer ei gleientiaid a'r farchnad ehangach. Mae dadansoddwyr credyd Insight yn cwrdd â dyroddwyr yn rheolaidd i drafod materion ESG. Mae gweithgareddau ymgysyl</w:t>
      </w:r>
      <w:r>
        <w:rPr>
          <w:lang w:val="cy-GB"/>
        </w:rPr>
        <w:t>ltu Insight yn llywio barn ei ddadansoddwyr credyd am gwmnïau ac yn creu sylfaen ar gyfer gwell tryloywder ynghylch materion ESG ac ymgysylltu parhaus i newid ymddygiad cwmnïau, lle bo hynny'n briodol.</w:t>
      </w:r>
    </w:p>
    <w:p w14:paraId="367DFC0D" w14:textId="77777777" w:rsidR="00951A8E" w:rsidRDefault="00951A8E">
      <w:pPr>
        <w:pStyle w:val="BodyText"/>
        <w:spacing w:before="1"/>
      </w:pPr>
    </w:p>
    <w:p w14:paraId="1A3B4070" w14:textId="77777777" w:rsidR="00951A8E" w:rsidRDefault="00F720AC" w:rsidP="007F6899">
      <w:pPr>
        <w:pStyle w:val="BodyText"/>
        <w:ind w:left="119" w:right="120"/>
      </w:pPr>
      <w:r>
        <w:rPr>
          <w:lang w:val="cy-GB"/>
        </w:rPr>
        <w:t>Mae'r dadansoddwyr credyd yn nodi'r materion ymgysyll</w:t>
      </w:r>
      <w:r>
        <w:rPr>
          <w:lang w:val="cy-GB"/>
        </w:rPr>
        <w:t>tu sy'n berthnasol i bob dyroddwr. Os nad yw Insight eisoes yn cynnal cyfarfodydd rheolaidd gyda rheolwyr cwmni, bydd ei dimau buddsoddi'n gofyn am gyfarfod gyda nhw. Lle nad yw hyn yn bosib neu, os yw Insight yn meddwl bod angen gweithredu ymhellach, gall</w:t>
      </w:r>
      <w:r>
        <w:rPr>
          <w:lang w:val="cy-GB"/>
        </w:rPr>
        <w:t xml:space="preserve"> Insight ystyried codi materion gyda brocer y cwmni. Os na fydd Insight yn derbyn ymateb gan y dyroddwr ar ôl cysylltu ag ef, bydd Insight yn arwain menter gydweithredol ehangach, drwy'r PRI neu gyda buddsoddwyr eraill, i gael mwy o ddylanwad ar y dyroddwr</w:t>
      </w:r>
      <w:r>
        <w:rPr>
          <w:lang w:val="cy-GB"/>
        </w:rPr>
        <w:t>. Mae'n rhan o fentrau tymor hir megis Climate Action 100+ (CA100+).</w:t>
      </w:r>
    </w:p>
    <w:p w14:paraId="6E23C7A0" w14:textId="77777777" w:rsidR="00951A8E" w:rsidRDefault="00951A8E">
      <w:pPr>
        <w:pStyle w:val="BodyText"/>
      </w:pPr>
    </w:p>
    <w:p w14:paraId="6DAE3524" w14:textId="77777777" w:rsidR="00951A8E" w:rsidRDefault="00F720AC">
      <w:pPr>
        <w:pStyle w:val="BodyText"/>
        <w:ind w:left="120"/>
        <w:jc w:val="both"/>
      </w:pPr>
      <w:r>
        <w:rPr>
          <w:u w:val="single"/>
          <w:lang w:val="cy-GB"/>
        </w:rPr>
        <w:t>Enghraifft o ymgysylltu</w:t>
      </w:r>
    </w:p>
    <w:p w14:paraId="4F399532" w14:textId="77777777" w:rsidR="00951A8E" w:rsidRDefault="00951A8E">
      <w:pPr>
        <w:pStyle w:val="BodyText"/>
        <w:spacing w:before="9"/>
        <w:rPr>
          <w:sz w:val="11"/>
        </w:rPr>
      </w:pPr>
    </w:p>
    <w:p w14:paraId="6F1D8763" w14:textId="77777777" w:rsidR="00951A8E" w:rsidRDefault="00F720AC" w:rsidP="007F6899">
      <w:pPr>
        <w:pStyle w:val="BodyText"/>
        <w:spacing w:before="93"/>
        <w:ind w:left="120" w:right="122"/>
      </w:pPr>
      <w:r>
        <w:rPr>
          <w:lang w:val="cy-GB"/>
        </w:rPr>
        <w:t>Yn nhrydydd chwarter 2021, bu Insight yn ymgysylltu â'r cwmni British American Tobacco ("BAT") ynghylch hawliau dynol a llafur. Penderfynodd Insight ymgysylltu â</w:t>
      </w:r>
      <w:r>
        <w:rPr>
          <w:lang w:val="cy-GB"/>
        </w:rPr>
        <w:t xml:space="preserve"> BAT oherwydd iddo roi sgôr 3 allan o 5 i BAT am faterion ESG ac roedd sgôr y cwmni'n is na'r cyfartaledd mewn meysydd cymdeithasol a llywodraethu.</w:t>
      </w:r>
    </w:p>
    <w:p w14:paraId="5ADFD434" w14:textId="77777777" w:rsidR="00951A8E" w:rsidRDefault="00951A8E">
      <w:pPr>
        <w:pStyle w:val="BodyText"/>
        <w:spacing w:before="2"/>
      </w:pPr>
    </w:p>
    <w:p w14:paraId="57DCB6D1" w14:textId="77777777" w:rsidR="00951A8E" w:rsidRDefault="00F720AC" w:rsidP="007F6899">
      <w:pPr>
        <w:pStyle w:val="BodyText"/>
        <w:ind w:left="120" w:right="120"/>
      </w:pPr>
      <w:r>
        <w:rPr>
          <w:lang w:val="cy-GB"/>
        </w:rPr>
        <w:t>Bu Insight yn ymgysylltu â'r cwmni ddwywaith yn ystod 2021 ac, yn gyffredinol, roedd yn fodlon ag ymateb BA</w:t>
      </w:r>
      <w:r>
        <w:rPr>
          <w:lang w:val="cy-GB"/>
        </w:rPr>
        <w:t>T. O ganlyniad i'r ymgysylltu, pennodd y cwmni ddau darged. Roedd yr un cyntaf yn gofyn i holl gyflenwyr BAT roi diwydrwydd dyladwy ar waith ym maes hawliau dynol. Roedd yr ail darged yn gofyn i BAT benodi menywod i o leiaf 45% o swyddi arweinyddiaeth. Byd</w:t>
      </w:r>
      <w:r>
        <w:rPr>
          <w:lang w:val="cy-GB"/>
        </w:rPr>
        <w:t>d Insight yn monitro cynnydd BAT yn erbyn y targedau wrth ymgysylltu â'r cwmni yn y dyfodol.</w:t>
      </w:r>
    </w:p>
    <w:p w14:paraId="495E474B" w14:textId="77777777" w:rsidR="00951A8E" w:rsidRDefault="00951A8E">
      <w:pPr>
        <w:pStyle w:val="BodyText"/>
      </w:pPr>
    </w:p>
    <w:p w14:paraId="40E1DA25" w14:textId="77777777" w:rsidR="00951A8E" w:rsidRDefault="00F720AC">
      <w:pPr>
        <w:pStyle w:val="Heading1"/>
      </w:pPr>
      <w:r>
        <w:rPr>
          <w:lang w:val="cy-GB"/>
        </w:rPr>
        <w:t>Gweithgarwch ymgysylltu - eiddo</w:t>
      </w:r>
    </w:p>
    <w:p w14:paraId="337A8560" w14:textId="77777777" w:rsidR="00951A8E" w:rsidRDefault="00951A8E">
      <w:pPr>
        <w:sectPr w:rsidR="00951A8E">
          <w:pgSz w:w="11910" w:h="16840"/>
          <w:pgMar w:top="1340" w:right="1320" w:bottom="280" w:left="1320" w:header="720" w:footer="720" w:gutter="0"/>
          <w:cols w:space="720"/>
        </w:sectPr>
      </w:pPr>
    </w:p>
    <w:p w14:paraId="7E5B75BC" w14:textId="77777777" w:rsidR="00951A8E" w:rsidRDefault="00F720AC" w:rsidP="009D2611">
      <w:pPr>
        <w:pStyle w:val="BodyText"/>
        <w:spacing w:before="71"/>
        <w:ind w:left="119" w:right="118"/>
      </w:pPr>
      <w:r>
        <w:rPr>
          <w:lang w:val="cy-GB"/>
        </w:rPr>
        <w:lastRenderedPageBreak/>
        <w:t xml:space="preserve">Mae'r Ymddiriedolwyr yn cydnabod y gall gallu rheolwyr eiddo i ymgysylltu â'r cwmnïau mae'r Cynllun wedi buddsoddi ynddynt a dylanwadu arnynt fod yn llai o'u cymharu â rheolwyr ecwiti. Fodd bynnag, mae'n galonogol gweld o'r wybodaeth a ddarparwyd ganddynt </w:t>
      </w:r>
      <w:r>
        <w:rPr>
          <w:lang w:val="cy-GB"/>
        </w:rPr>
        <w:t>ar gyfer yr EPIS fod y rheolwyr yn ymwybodol ac yn weithredol yn eu rôl fel stiwardiaid cyfalaf.</w:t>
      </w:r>
    </w:p>
    <w:p w14:paraId="15C0A08A" w14:textId="77777777" w:rsidR="00951A8E" w:rsidRDefault="00951A8E">
      <w:pPr>
        <w:pStyle w:val="BodyText"/>
      </w:pPr>
    </w:p>
    <w:p w14:paraId="19DB8FB3" w14:textId="77777777" w:rsidR="00951A8E" w:rsidRDefault="00F720AC" w:rsidP="009D2611">
      <w:pPr>
        <w:pStyle w:val="BodyText"/>
        <w:ind w:left="119" w:right="123"/>
      </w:pPr>
      <w:r>
        <w:rPr>
          <w:lang w:val="cy-GB"/>
        </w:rPr>
        <w:t>Mae'r adran ganlynol yn dangos rhai o'r gweithgareddau ymgysylltu mae rheolwyr eiddo'r Cynllun wedi ymgymryd â nhw dros y flwyddyn.</w:t>
      </w:r>
    </w:p>
    <w:p w14:paraId="17247709" w14:textId="77777777" w:rsidR="00951A8E" w:rsidRDefault="00951A8E">
      <w:pPr>
        <w:pStyle w:val="BodyText"/>
        <w:spacing w:before="11"/>
        <w:rPr>
          <w:sz w:val="19"/>
        </w:rPr>
      </w:pPr>
    </w:p>
    <w:p w14:paraId="6CF73FCD" w14:textId="77777777" w:rsidR="00951A8E" w:rsidRDefault="00F720AC">
      <w:pPr>
        <w:pStyle w:val="Heading2"/>
        <w:jc w:val="both"/>
      </w:pPr>
      <w:r>
        <w:rPr>
          <w:lang w:val="cy-GB"/>
        </w:rPr>
        <w:t>M&amp;G - UK Property Fund</w:t>
      </w:r>
    </w:p>
    <w:p w14:paraId="645789C4" w14:textId="77777777" w:rsidR="00951A8E" w:rsidRDefault="00951A8E">
      <w:pPr>
        <w:pStyle w:val="BodyText"/>
        <w:rPr>
          <w:b/>
        </w:rPr>
      </w:pPr>
    </w:p>
    <w:p w14:paraId="0D4D0C6F" w14:textId="77777777" w:rsidR="00951A8E" w:rsidRDefault="00F720AC">
      <w:pPr>
        <w:pStyle w:val="BodyText"/>
        <w:ind w:left="120"/>
      </w:pPr>
      <w:r>
        <w:rPr>
          <w:u w:val="single"/>
          <w:lang w:val="cy-GB"/>
        </w:rPr>
        <w:t>Y</w:t>
      </w:r>
      <w:r>
        <w:rPr>
          <w:u w:val="single"/>
          <w:lang w:val="cy-GB"/>
        </w:rPr>
        <w:t>mgysylltu</w:t>
      </w:r>
    </w:p>
    <w:p w14:paraId="5FE2A4D6" w14:textId="77777777" w:rsidR="00951A8E" w:rsidRDefault="00951A8E">
      <w:pPr>
        <w:pStyle w:val="BodyText"/>
        <w:rPr>
          <w:sz w:val="12"/>
        </w:rPr>
      </w:pPr>
    </w:p>
    <w:p w14:paraId="14DA8D85" w14:textId="77777777" w:rsidR="00951A8E" w:rsidRDefault="00F720AC" w:rsidP="009D2611">
      <w:pPr>
        <w:pStyle w:val="BodyText"/>
        <w:spacing w:before="93"/>
        <w:ind w:left="119" w:right="119"/>
      </w:pPr>
      <w:r>
        <w:rPr>
          <w:lang w:val="cy-GB"/>
        </w:rPr>
        <w:t>Datblygodd M&amp;G ei broses ymgysylltu drwy fabwysiadu fframwaith y Bwrdd Safonau Cyfrifyddu Cynaliadwy ("SASB"). Mae'n defnyddio'r fframwaith hwn i strwythuro ei weithgarwch ymchwil ac ymgysylltu, gan ei alluogi i gynnwys ffactorau ESG yn y broses</w:t>
      </w:r>
      <w:r>
        <w:rPr>
          <w:lang w:val="cy-GB"/>
        </w:rPr>
        <w:t xml:space="preserve"> fuddsoddi ar gyfer ei ddaliadau ar bob cam. Byddai M&amp;G yn cyflwyno ei ymateb ei hun fesul achos, pe bai ei farn yn amlwg yn wahanol i farn ei gymheiriaid, neu pe bai'r mater yn faterol berthnasol i'w fusnes, ei gleientiaid a'r cymunedau mae'n eu gwasanaet</w:t>
      </w:r>
      <w:r>
        <w:rPr>
          <w:lang w:val="cy-GB"/>
        </w:rPr>
        <w:t>hu. Mae'n darparu adborth technegol ar faterion ESG i'w reoleiddwyr. Darperir adborth gan ei gyrff masnach ac yn uniongyrchol i awdurdodau cenedlaethol cymwys perthnasol, megis yr Awdurdod Ymddygiad Ariannol, yr Awdurdod Rheoleiddio Darbodus a chyrff erail</w:t>
      </w:r>
      <w:r>
        <w:rPr>
          <w:lang w:val="cy-GB"/>
        </w:rPr>
        <w:t>l sy'n llunio rheolau yn ei farchnadoedd allweddol.</w:t>
      </w:r>
    </w:p>
    <w:p w14:paraId="1F73F0C0" w14:textId="77777777" w:rsidR="00951A8E" w:rsidRDefault="00951A8E">
      <w:pPr>
        <w:pStyle w:val="BodyText"/>
        <w:rPr>
          <w:sz w:val="22"/>
        </w:rPr>
      </w:pPr>
    </w:p>
    <w:p w14:paraId="3DE7A987" w14:textId="77777777" w:rsidR="00951A8E" w:rsidRDefault="00951A8E">
      <w:pPr>
        <w:pStyle w:val="BodyText"/>
        <w:spacing w:before="11"/>
        <w:rPr>
          <w:sz w:val="17"/>
        </w:rPr>
      </w:pPr>
    </w:p>
    <w:p w14:paraId="7B5F6739" w14:textId="77777777" w:rsidR="00951A8E" w:rsidRDefault="00F720AC">
      <w:pPr>
        <w:pStyle w:val="BodyText"/>
        <w:ind w:left="120"/>
        <w:jc w:val="both"/>
      </w:pPr>
      <w:r>
        <w:rPr>
          <w:u w:val="single"/>
          <w:lang w:val="cy-GB"/>
        </w:rPr>
        <w:t>Enghraifft o ymgysylltu (lefel cwmni</w:t>
      </w:r>
      <w:r>
        <w:rPr>
          <w:lang w:val="cy-GB"/>
        </w:rPr>
        <w:t>)</w:t>
      </w:r>
    </w:p>
    <w:p w14:paraId="1607E4FA" w14:textId="77777777" w:rsidR="00951A8E" w:rsidRDefault="00951A8E">
      <w:pPr>
        <w:pStyle w:val="BodyText"/>
        <w:spacing w:before="9"/>
        <w:rPr>
          <w:sz w:val="11"/>
        </w:rPr>
      </w:pPr>
    </w:p>
    <w:p w14:paraId="47E81A9E" w14:textId="77777777" w:rsidR="00951A8E" w:rsidRDefault="00F720AC" w:rsidP="009D2611">
      <w:pPr>
        <w:pStyle w:val="BodyText"/>
        <w:spacing w:before="93"/>
        <w:ind w:left="120" w:right="119"/>
      </w:pPr>
      <w:r>
        <w:rPr>
          <w:lang w:val="cy-GB"/>
        </w:rPr>
        <w:t>Yn ystod 2021, bu M&amp;G yn ymgysylltu â'r cwmni fferyllol, Cheplapharm, ynghylch ei lywodraethu, cyfansoddiad y bwrdd a phrisio teg. Nod M&amp;G oedd annog y cwmni i gyf</w:t>
      </w:r>
      <w:r>
        <w:rPr>
          <w:lang w:val="cy-GB"/>
        </w:rPr>
        <w:t>lwyno bwrdd goruchwylio i sicrhau bod her ddigonol i'r rheolwyr yn eu prosesau penderfynu. Roedd M&amp;G hefyd am sicrhau bod mesurau priodol ar waith i reoli'r risgiau ynghlwm wrth brisio meddyginiaethau.</w:t>
      </w:r>
    </w:p>
    <w:p w14:paraId="2E520A66" w14:textId="77777777" w:rsidR="00951A8E" w:rsidRDefault="00F720AC">
      <w:pPr>
        <w:pStyle w:val="BodyText"/>
        <w:spacing w:before="2"/>
        <w:ind w:left="120" w:right="120"/>
        <w:jc w:val="both"/>
      </w:pPr>
      <w:r>
        <w:rPr>
          <w:lang w:val="cy-GB"/>
        </w:rPr>
        <w:t>Cyfarfu M&amp;G â Cheplapharm i drafod ei strategaeth ESG,</w:t>
      </w:r>
      <w:r>
        <w:rPr>
          <w:lang w:val="cy-GB"/>
        </w:rPr>
        <w:t xml:space="preserve"> i annog arferion gwell ym maes llywodraethu ac i sicrhau ei fod yn gyfforddus ag arferion teg a moesegol mewn perthynas â phrisio. Ym marn M&amp;G bu'r gweithgarwch ymgysylltu'n gadarnhaol a chafwyd ymrwymiad gan y cwmni i ehangu ei fwrdd ac ystyried cyhoeddi</w:t>
      </w:r>
      <w:r>
        <w:rPr>
          <w:lang w:val="cy-GB"/>
        </w:rPr>
        <w:t xml:space="preserve"> ei bolisi prisio.</w:t>
      </w:r>
    </w:p>
    <w:p w14:paraId="1C65AD38" w14:textId="77777777" w:rsidR="00951A8E" w:rsidRDefault="00951A8E">
      <w:pPr>
        <w:pStyle w:val="BodyText"/>
      </w:pPr>
    </w:p>
    <w:p w14:paraId="03B2FFBC" w14:textId="77777777" w:rsidR="00951A8E" w:rsidRDefault="00F720AC">
      <w:pPr>
        <w:pStyle w:val="Heading1"/>
        <w:spacing w:before="1"/>
      </w:pPr>
      <w:r>
        <w:rPr>
          <w:lang w:val="cy-GB"/>
        </w:rPr>
        <w:t>Gweithgarwch Pleidleisio ac Ymgysylltu - Cronfeydd Rhagfantoli (</w:t>
      </w:r>
      <w:r>
        <w:rPr>
          <w:i/>
          <w:iCs/>
          <w:lang w:val="cy-GB"/>
        </w:rPr>
        <w:t>hedge funds</w:t>
      </w:r>
      <w:r>
        <w:rPr>
          <w:lang w:val="cy-GB"/>
        </w:rPr>
        <w:t>)</w:t>
      </w:r>
      <w:r>
        <w:rPr>
          <w:i/>
          <w:iCs/>
          <w:lang w:val="cy-GB"/>
        </w:rPr>
        <w:tab/>
      </w:r>
    </w:p>
    <w:p w14:paraId="0509803B" w14:textId="77777777" w:rsidR="00951A8E" w:rsidRDefault="00951A8E">
      <w:pPr>
        <w:pStyle w:val="BodyText"/>
        <w:spacing w:before="10"/>
        <w:rPr>
          <w:b/>
          <w:sz w:val="23"/>
        </w:rPr>
      </w:pPr>
    </w:p>
    <w:p w14:paraId="5888FBFF" w14:textId="77777777" w:rsidR="00951A8E" w:rsidRDefault="00F720AC">
      <w:pPr>
        <w:pStyle w:val="BodyText"/>
        <w:ind w:left="120" w:right="120"/>
        <w:jc w:val="both"/>
      </w:pPr>
      <w:r>
        <w:rPr>
          <w:lang w:val="cy-GB"/>
        </w:rPr>
        <w:t>Mae'r Ymddiriedolwyr yn dirprwyo cyfrifoldeb am reoli rhai o asedau'r Cynllun i AIL Investments Limited ("AIL").</w:t>
      </w:r>
    </w:p>
    <w:p w14:paraId="1A38580E" w14:textId="77777777" w:rsidR="00951A8E" w:rsidRDefault="00951A8E">
      <w:pPr>
        <w:pStyle w:val="BodyText"/>
        <w:spacing w:before="10"/>
        <w:rPr>
          <w:sz w:val="23"/>
        </w:rPr>
      </w:pPr>
    </w:p>
    <w:p w14:paraId="7E96D292" w14:textId="77777777" w:rsidR="00951A8E" w:rsidRDefault="00F720AC">
      <w:pPr>
        <w:pStyle w:val="Heading2"/>
      </w:pPr>
      <w:r>
        <w:rPr>
          <w:lang w:val="cy-GB"/>
        </w:rPr>
        <w:t>Strategaeth Arallgyfeirwyr</w:t>
      </w:r>
      <w:r>
        <w:rPr>
          <w:lang w:val="cy-GB"/>
        </w:rPr>
        <w:t xml:space="preserve"> Gweithredol AIL</w:t>
      </w:r>
    </w:p>
    <w:p w14:paraId="7B1921CC" w14:textId="77777777" w:rsidR="00951A8E" w:rsidRDefault="00951A8E">
      <w:pPr>
        <w:pStyle w:val="BodyText"/>
        <w:spacing w:before="1"/>
        <w:rPr>
          <w:b/>
        </w:rPr>
      </w:pPr>
    </w:p>
    <w:p w14:paraId="0E328B92" w14:textId="77777777" w:rsidR="00951A8E" w:rsidRDefault="00F720AC">
      <w:pPr>
        <w:pStyle w:val="BodyText"/>
        <w:ind w:left="120" w:right="230"/>
      </w:pPr>
      <w:r>
        <w:rPr>
          <w:lang w:val="cy-GB"/>
        </w:rPr>
        <w:t>Mae'r Ymddiriedolwyr yn cydnabod y gall y prosesau buddsoddi a natur buddsoddiadau amgen olygu bod stiwardiaeth yn llai ymarferol neu gall fod yn llai perthnasol i rai mathau o strategaeth. Er enghraifft, yn aml caiff strategaethau cronfa rhagfantoli eu gw</w:t>
      </w:r>
      <w:r>
        <w:rPr>
          <w:lang w:val="cy-GB"/>
        </w:rPr>
        <w:t xml:space="preserve">eithredu gan ddefnyddio deilliadau a gall hyn gynnwys masnachu gwrannau dros dymor byr. Mae hyn yn cyfyngu ar allu'r rheolwr i ymdrin â'r daliadau isorweddol. Gan ystyried amodau'r farchnad dros y cyfnod, cafodd y Strategaeth Arallgyfeirwyr Gweithredol ei </w:t>
      </w:r>
      <w:r>
        <w:rPr>
          <w:lang w:val="cy-GB"/>
        </w:rPr>
        <w:t>chyfeirio tuag at strategaethau masnachu tymor byr oherwydd bod AIL o’r farn eu bod â gallu gwell i ymdrin â'r marchnadoedd hyn.</w:t>
      </w:r>
    </w:p>
    <w:p w14:paraId="44210847" w14:textId="77777777" w:rsidR="00951A8E" w:rsidRDefault="00951A8E">
      <w:pPr>
        <w:pStyle w:val="BodyText"/>
        <w:spacing w:before="1"/>
      </w:pPr>
    </w:p>
    <w:p w14:paraId="42475406" w14:textId="77777777" w:rsidR="00951A8E" w:rsidRDefault="00F720AC">
      <w:pPr>
        <w:pStyle w:val="BodyText"/>
        <w:ind w:left="120"/>
      </w:pPr>
      <w:r>
        <w:rPr>
          <w:lang w:val="cy-GB"/>
        </w:rPr>
        <w:t>Mae'r Ymddiriedolwyr yn sylweddoli y gall fod yn anodd i'r mathau hyn o reolwyr ymgymryd â gweithgareddau ymgysylltu traddodia</w:t>
      </w:r>
      <w:r>
        <w:rPr>
          <w:lang w:val="cy-GB"/>
        </w:rPr>
        <w:t>dol. Serch hynny, mae'r Ymddiriedolwyr yn disgwyl i'r rhan fwyaf o reolwyr, lle bynnag y bo modd, ymgysylltu â dyroddwyr neu'r cwmnïau maent yn buddsoddi ynddynt, os daw pryderon a all gael effaith ariannol i’w sylw.</w:t>
      </w:r>
    </w:p>
    <w:p w14:paraId="456F47EA" w14:textId="77777777" w:rsidR="00951A8E" w:rsidRDefault="00951A8E">
      <w:pPr>
        <w:pStyle w:val="BodyText"/>
      </w:pPr>
    </w:p>
    <w:p w14:paraId="5926BEC3" w14:textId="77777777" w:rsidR="00951A8E" w:rsidRDefault="00F720AC">
      <w:pPr>
        <w:pStyle w:val="Heading2"/>
      </w:pPr>
      <w:bookmarkStart w:id="0" w:name="Marshall_Wace_–_Market_Neutral_ESG_Tops_"/>
      <w:bookmarkEnd w:id="0"/>
      <w:r>
        <w:rPr>
          <w:lang w:val="cy-GB"/>
        </w:rPr>
        <w:t>Marshall Wace – Market Neutral ESG Top</w:t>
      </w:r>
      <w:r>
        <w:rPr>
          <w:lang w:val="cy-GB"/>
        </w:rPr>
        <w:t>s Fund</w:t>
      </w:r>
    </w:p>
    <w:p w14:paraId="3E71281D" w14:textId="77777777" w:rsidR="00951A8E" w:rsidRDefault="00951A8E">
      <w:pPr>
        <w:pStyle w:val="BodyText"/>
        <w:rPr>
          <w:b/>
        </w:rPr>
      </w:pPr>
    </w:p>
    <w:p w14:paraId="161CC23F" w14:textId="77777777" w:rsidR="00951A8E" w:rsidRDefault="00F720AC">
      <w:pPr>
        <w:pStyle w:val="BodyText"/>
        <w:ind w:left="120"/>
      </w:pPr>
      <w:r>
        <w:rPr>
          <w:u w:val="single"/>
          <w:lang w:val="cy-GB"/>
        </w:rPr>
        <w:t>Pleidleisio</w:t>
      </w:r>
    </w:p>
    <w:p w14:paraId="685498F7" w14:textId="77777777" w:rsidR="00951A8E" w:rsidRDefault="00951A8E">
      <w:pPr>
        <w:pStyle w:val="BodyText"/>
        <w:spacing w:before="9"/>
        <w:rPr>
          <w:sz w:val="11"/>
        </w:rPr>
      </w:pPr>
    </w:p>
    <w:p w14:paraId="107D30C6" w14:textId="77777777" w:rsidR="00951A8E" w:rsidRDefault="00F720AC">
      <w:pPr>
        <w:pStyle w:val="BodyText"/>
        <w:spacing w:before="93"/>
        <w:ind w:left="120"/>
      </w:pPr>
      <w:r>
        <w:rPr>
          <w:lang w:val="cy-GB"/>
        </w:rPr>
        <w:t>Fel y trafodwyd uchod, yn y rhan fwyaf o achosion, nid yw'r cronfeydd mae Marshall Wace yn eu rheoli yn berchen ar gyfranddaliadau felly nid oes ganddynt hawliau pleidleisio. Ond lle mae'n credu bod hyn er budd gorau ei gleientiaid,</w:t>
      </w:r>
    </w:p>
    <w:p w14:paraId="2DC4C4C4" w14:textId="77777777" w:rsidR="00951A8E" w:rsidRDefault="00951A8E">
      <w:pPr>
        <w:sectPr w:rsidR="00951A8E">
          <w:pgSz w:w="11910" w:h="16840"/>
          <w:pgMar w:top="1580" w:right="1320" w:bottom="280" w:left="1320" w:header="720" w:footer="720" w:gutter="0"/>
          <w:cols w:space="720"/>
        </w:sectPr>
      </w:pPr>
    </w:p>
    <w:p w14:paraId="70BD6CD1" w14:textId="77777777" w:rsidR="00951A8E" w:rsidRDefault="00F720AC">
      <w:pPr>
        <w:pStyle w:val="BodyText"/>
        <w:spacing w:before="81"/>
        <w:ind w:left="120"/>
      </w:pPr>
      <w:r>
        <w:rPr>
          <w:lang w:val="cy-GB"/>
        </w:rPr>
        <w:lastRenderedPageBreak/>
        <w:t>gall Marshall Wace drefnu i ddal cyfranddaliadau fel y gall arfer yr hawliau pleidleisio. Mae hyn yn fwyaf tebygol o ddigwydd lle bo canlyniad pleidlais yn debygol o gael effaith hynod arwyddocaol ar brisiad cyfranddaliadau'r cwmni hwnnw.</w:t>
      </w:r>
    </w:p>
    <w:p w14:paraId="2E04710F" w14:textId="77777777" w:rsidR="00951A8E" w:rsidRDefault="00951A8E">
      <w:pPr>
        <w:pStyle w:val="BodyText"/>
        <w:spacing w:before="10"/>
        <w:rPr>
          <w:sz w:val="19"/>
        </w:rPr>
      </w:pPr>
    </w:p>
    <w:p w14:paraId="7B720BE9" w14:textId="77777777" w:rsidR="00951A8E" w:rsidRDefault="00F720AC">
      <w:pPr>
        <w:pStyle w:val="BodyText"/>
        <w:spacing w:before="1"/>
        <w:ind w:left="120" w:right="230"/>
      </w:pPr>
      <w:r>
        <w:rPr>
          <w:lang w:val="cy-GB"/>
        </w:rPr>
        <w:t>Ll</w:t>
      </w:r>
      <w:r>
        <w:rPr>
          <w:lang w:val="cy-GB"/>
        </w:rPr>
        <w:t>e bo'n berthnasol, mae Marshall Wace yn ceisio arfer hawliau pleidleisio drwy ddirprwy'r cronfeydd mae'n eu rheoli ym mhob cyfarfod i gyfranddalwyr. Mae'n ystyried ystod o ffactorau sy'n effeithio ar werth ei fuddsoddiadau ac yn ymdrechu i weithredu er bud</w:t>
      </w:r>
      <w:r>
        <w:rPr>
          <w:lang w:val="cy-GB"/>
        </w:rPr>
        <w:t>d y cronfeydd hynny yn unig. Wrth wneud penderfyniadau ynghylch pleidleisio, mae Marshall Wace yn ystyried ffeithiau ac amgylchiadau pob achos a bydd yn gweithredu yn unol â’i bolisi Gwrthdaro Buddiannau.</w:t>
      </w:r>
    </w:p>
    <w:p w14:paraId="613FE413" w14:textId="77777777" w:rsidR="00951A8E" w:rsidRDefault="00951A8E">
      <w:pPr>
        <w:pStyle w:val="BodyText"/>
      </w:pPr>
    </w:p>
    <w:p w14:paraId="6B1DA59C" w14:textId="202740DA" w:rsidR="00951A8E" w:rsidRDefault="00F720AC">
      <w:pPr>
        <w:pStyle w:val="BodyText"/>
        <w:ind w:left="120"/>
      </w:pPr>
      <w:r>
        <w:rPr>
          <w:lang w:val="cy-GB"/>
        </w:rPr>
        <w:t>Polisi Marshall Wace yw dilyn y cyngor a ddarperir gan ei gynghorydd ar bleidleisio drwy ddirprwy, Glass Lewis. Serch hynny, gall benderfynu peidio â phleidleisio yn unol â'r</w:t>
      </w:r>
      <w:r>
        <w:rPr>
          <w:lang w:val="cy-GB"/>
        </w:rPr>
        <w:t xml:space="preserve"> cyngor hwn os cred y bydd gweithredu fel hynny'n cyflawni'r canlyniadau a ddymun</w:t>
      </w:r>
      <w:r>
        <w:rPr>
          <w:lang w:val="cy-GB"/>
        </w:rPr>
        <w:t>ir gan ei gleientiaid yn well.</w:t>
      </w:r>
    </w:p>
    <w:p w14:paraId="6B674369" w14:textId="77777777" w:rsidR="00951A8E" w:rsidRDefault="00951A8E">
      <w:pPr>
        <w:pStyle w:val="BodyText"/>
        <w:spacing w:before="10"/>
        <w:rPr>
          <w:sz w:val="19"/>
        </w:rPr>
      </w:pPr>
    </w:p>
    <w:p w14:paraId="73920927" w14:textId="77777777" w:rsidR="00951A8E" w:rsidRDefault="00F720AC">
      <w:pPr>
        <w:pStyle w:val="BodyText"/>
        <w:spacing w:before="1"/>
        <w:ind w:left="120"/>
      </w:pPr>
      <w:r>
        <w:rPr>
          <w:u w:val="single"/>
          <w:lang w:val="cy-GB"/>
        </w:rPr>
        <w:t>Enghraifft o bleidleisio</w:t>
      </w:r>
    </w:p>
    <w:p w14:paraId="447620AB" w14:textId="77777777" w:rsidR="00951A8E" w:rsidRDefault="00951A8E">
      <w:pPr>
        <w:pStyle w:val="BodyText"/>
        <w:rPr>
          <w:sz w:val="12"/>
        </w:rPr>
      </w:pPr>
    </w:p>
    <w:p w14:paraId="02D01192" w14:textId="77777777" w:rsidR="00951A8E" w:rsidRDefault="00F720AC">
      <w:pPr>
        <w:pStyle w:val="BodyText"/>
        <w:spacing w:before="92"/>
        <w:ind w:left="120" w:right="230"/>
      </w:pPr>
      <w:r>
        <w:rPr>
          <w:lang w:val="cy-GB"/>
        </w:rPr>
        <w:t>Ym mis Mawrth 2022, pleidleisiodd Marshall Wace yn erbyn tîm rheoli Highland Transcent Partners, cwmni'r farchnad gyfalaf, ar gynnig ynghylch cyhoeddi stoc cyffredin. Pleidleisiodd Marshall Wace fel</w:t>
      </w:r>
      <w:r>
        <w:rPr>
          <w:lang w:val="cy-GB"/>
        </w:rPr>
        <w:t xml:space="preserve"> hyn oherwydd bod hynny'n gydnaws â'i bolisi pleidleisio pwrpasol.</w:t>
      </w:r>
    </w:p>
    <w:p w14:paraId="033ED287" w14:textId="77777777" w:rsidR="00951A8E" w:rsidRDefault="00951A8E">
      <w:pPr>
        <w:pStyle w:val="BodyText"/>
        <w:spacing w:before="11"/>
        <w:rPr>
          <w:sz w:val="19"/>
        </w:rPr>
      </w:pPr>
    </w:p>
    <w:p w14:paraId="1C1F3946" w14:textId="77777777" w:rsidR="00951A8E" w:rsidRDefault="00F720AC">
      <w:pPr>
        <w:pStyle w:val="BodyText"/>
        <w:ind w:left="120"/>
      </w:pPr>
      <w:r>
        <w:rPr>
          <w:u w:val="single"/>
          <w:lang w:val="cy-GB"/>
        </w:rPr>
        <w:t>Ymgysylltu</w:t>
      </w:r>
    </w:p>
    <w:p w14:paraId="74E4EDB1" w14:textId="77777777" w:rsidR="00951A8E" w:rsidRDefault="00951A8E">
      <w:pPr>
        <w:pStyle w:val="BodyText"/>
        <w:rPr>
          <w:sz w:val="12"/>
        </w:rPr>
      </w:pPr>
    </w:p>
    <w:p w14:paraId="0D7F8B80" w14:textId="77777777" w:rsidR="00951A8E" w:rsidRDefault="00F720AC">
      <w:pPr>
        <w:pStyle w:val="BodyText"/>
        <w:spacing w:before="93"/>
        <w:ind w:left="120" w:right="193"/>
      </w:pPr>
      <w:r>
        <w:rPr>
          <w:lang w:val="cy-GB"/>
        </w:rPr>
        <w:t>Mae Marshall Wace yn gweld ymgysylltu fel proses tymor hir a chred ei fod yn offeryn effeithiol i gyflawni newid ystyrlon. Mae Marshall Wace yn ymgysylltu â'r cwmnïau mae'n bud</w:t>
      </w:r>
      <w:r>
        <w:rPr>
          <w:lang w:val="cy-GB"/>
        </w:rPr>
        <w:t>dsoddi ynddynt ar amrywiaeth o bynciau. Nod Marshall Wace yw meithrin perthynas gadarnhaol a chydweithredol â'r cwmnïau y mae gan y cronfeydd a reolir ganddo fudd ynddynt.</w:t>
      </w:r>
    </w:p>
    <w:p w14:paraId="71176C10" w14:textId="77777777" w:rsidR="00951A8E" w:rsidRDefault="00951A8E">
      <w:pPr>
        <w:pStyle w:val="BodyText"/>
      </w:pPr>
    </w:p>
    <w:p w14:paraId="2A99955B" w14:textId="77777777" w:rsidR="00951A8E" w:rsidRDefault="00F720AC">
      <w:pPr>
        <w:pStyle w:val="BodyText"/>
        <w:ind w:left="120"/>
      </w:pPr>
      <w:r>
        <w:rPr>
          <w:lang w:val="cy-GB"/>
        </w:rPr>
        <w:t>Mae gweithgareddau ymgysylltu Marshall Wace yn canolbwyntio ar y materion llywodrae</w:t>
      </w:r>
      <w:r>
        <w:rPr>
          <w:lang w:val="cy-GB"/>
        </w:rPr>
        <w:t>thu a stiwardiaeth sydd o'r pwys mwyaf o ran creu gwerth i gyfranddalwyr yn ei farn. Mae enghreifftiau nodweddiadol yn cynnwys strategaeth gorfforaethol, materion sy’n ymwneud â'r bwrdd (megis ei arweinyddiaeth, ei gyfansoddiad a chymhellion), ariannu, gwe</w:t>
      </w:r>
      <w:r>
        <w:rPr>
          <w:lang w:val="cy-GB"/>
        </w:rPr>
        <w:t>ithredoedd corfforaethol megis caffaeliadau neu warediadau o bwys, rheoli risgiau a pherfformiad cyffredinol.</w:t>
      </w:r>
    </w:p>
    <w:p w14:paraId="61037B21" w14:textId="77777777" w:rsidR="00951A8E" w:rsidRDefault="00951A8E">
      <w:pPr>
        <w:pStyle w:val="BodyText"/>
        <w:spacing w:before="11"/>
        <w:rPr>
          <w:sz w:val="19"/>
        </w:rPr>
      </w:pPr>
    </w:p>
    <w:p w14:paraId="5D978E3B" w14:textId="77777777" w:rsidR="00951A8E" w:rsidRDefault="00F720AC">
      <w:pPr>
        <w:pStyle w:val="BodyText"/>
        <w:ind w:left="120"/>
      </w:pPr>
      <w:r>
        <w:rPr>
          <w:u w:val="single"/>
          <w:lang w:val="cy-GB"/>
        </w:rPr>
        <w:t>Enghraifft o Ymgysylltu (ar lefel cwmni)</w:t>
      </w:r>
    </w:p>
    <w:p w14:paraId="1A386732" w14:textId="77777777" w:rsidR="00951A8E" w:rsidRDefault="00951A8E">
      <w:pPr>
        <w:pStyle w:val="BodyText"/>
        <w:rPr>
          <w:sz w:val="12"/>
        </w:rPr>
      </w:pPr>
    </w:p>
    <w:p w14:paraId="00DBA303" w14:textId="77777777" w:rsidR="00951A8E" w:rsidRDefault="00F720AC">
      <w:pPr>
        <w:pStyle w:val="BodyText"/>
        <w:spacing w:before="93"/>
        <w:ind w:left="120" w:right="230"/>
      </w:pPr>
      <w:r>
        <w:rPr>
          <w:lang w:val="cy-GB"/>
        </w:rPr>
        <w:t xml:space="preserve">Yn 2022, bu Marshall Wace yn ymgysylltu ar amrywiaeth o bynciau ESG â Repligen, cwmni sy'n datblygu ac </w:t>
      </w:r>
      <w:r>
        <w:rPr>
          <w:lang w:val="cy-GB"/>
        </w:rPr>
        <w:t>yn cynhyrchu deunyddiau a ddefnyddir i weithgynhyrchu cyffuriau biolegol. O'r gweithgarwch ymgysylltu, nododd Marshall Wace fod y cwmni'n perfformio'n dda o ran llywodraethu, arferion cadwyn gyflenwi, cynnydd wrth ddatgelu materion ESG ac amrywiaeth y bwrd</w:t>
      </w:r>
      <w:r>
        <w:rPr>
          <w:lang w:val="cy-GB"/>
        </w:rPr>
        <w:t>d.</w:t>
      </w:r>
    </w:p>
    <w:p w14:paraId="05096643" w14:textId="77777777" w:rsidR="00951A8E" w:rsidRDefault="00951A8E">
      <w:pPr>
        <w:pStyle w:val="BodyText"/>
      </w:pPr>
    </w:p>
    <w:p w14:paraId="54A4C659" w14:textId="333BF4E7" w:rsidR="00951A8E" w:rsidRDefault="00F720AC">
      <w:pPr>
        <w:pStyle w:val="BodyText"/>
        <w:ind w:left="120" w:right="230"/>
      </w:pPr>
      <w:r>
        <w:rPr>
          <w:lang w:val="cy-GB"/>
        </w:rPr>
        <w:t>Dywedodd Repligen ei fod yn ystyried gwneud datgeliadau a fyddai'n gyson â'r Tasglu ar gyfer Datgeliadau Ariannol mewn perthynas â'r Hinsawdd a cheisiodd arweiniad ac adborth gan Marshall Wace. Nododd Marshall Wace fod strategaeth becynnu Repligen yn a</w:t>
      </w:r>
      <w:r>
        <w:rPr>
          <w:lang w:val="cy-GB"/>
        </w:rPr>
        <w:t xml:space="preserve">rloesol a'i </w:t>
      </w:r>
      <w:r w:rsidR="009D2611">
        <w:rPr>
          <w:lang w:val="cy-GB"/>
        </w:rPr>
        <w:t>b</w:t>
      </w:r>
      <w:r>
        <w:rPr>
          <w:lang w:val="cy-GB"/>
        </w:rPr>
        <w:t>od yn achub y blaen ar ei gystadleuwyr. Gofynnodd Marshall Wace am ei dargedau o ran allyriadau nwyon tŷ gwydr ond cadarnhaodd y cwmni nad oedd wedi pennu rhai eto.</w:t>
      </w:r>
    </w:p>
    <w:p w14:paraId="505A1789" w14:textId="77777777" w:rsidR="00951A8E" w:rsidRDefault="00F720AC">
      <w:pPr>
        <w:pStyle w:val="BodyText"/>
        <w:spacing w:line="230" w:lineRule="exact"/>
        <w:ind w:left="120"/>
      </w:pPr>
      <w:r>
        <w:rPr>
          <w:lang w:val="cy-GB"/>
        </w:rPr>
        <w:t>Bydd Marshall Wace yn parhau i ymgysylltu â'r cwmni.</w:t>
      </w:r>
    </w:p>
    <w:p w14:paraId="2B45BD22" w14:textId="77777777" w:rsidR="00951A8E" w:rsidRDefault="00951A8E">
      <w:pPr>
        <w:pStyle w:val="BodyText"/>
        <w:spacing w:before="1"/>
      </w:pPr>
    </w:p>
    <w:p w14:paraId="2D759D71" w14:textId="77777777" w:rsidR="00951A8E" w:rsidRDefault="00F720AC">
      <w:pPr>
        <w:pStyle w:val="Heading2"/>
      </w:pPr>
      <w:r>
        <w:rPr>
          <w:lang w:val="cy-GB"/>
        </w:rPr>
        <w:t xml:space="preserve">Boussard and </w:t>
      </w:r>
      <w:r>
        <w:rPr>
          <w:lang w:val="cy-GB"/>
        </w:rPr>
        <w:t>Gavaudan (“BG”) BG Fund</w:t>
      </w:r>
    </w:p>
    <w:p w14:paraId="1425B499" w14:textId="77777777" w:rsidR="00951A8E" w:rsidRDefault="00951A8E">
      <w:pPr>
        <w:pStyle w:val="BodyText"/>
        <w:rPr>
          <w:b/>
        </w:rPr>
      </w:pPr>
    </w:p>
    <w:p w14:paraId="058DFC12" w14:textId="77777777" w:rsidR="00951A8E" w:rsidRDefault="00F720AC">
      <w:pPr>
        <w:pStyle w:val="BodyText"/>
        <w:ind w:left="120"/>
      </w:pPr>
      <w:r>
        <w:rPr>
          <w:u w:val="single"/>
          <w:lang w:val="cy-GB"/>
        </w:rPr>
        <w:t>Pleidleisio</w:t>
      </w:r>
    </w:p>
    <w:p w14:paraId="330BF1A4" w14:textId="77777777" w:rsidR="00951A8E" w:rsidRDefault="00951A8E">
      <w:pPr>
        <w:pStyle w:val="BodyText"/>
        <w:spacing w:before="9"/>
        <w:rPr>
          <w:sz w:val="11"/>
        </w:rPr>
      </w:pPr>
    </w:p>
    <w:p w14:paraId="6C41F5C5" w14:textId="77777777" w:rsidR="00951A8E" w:rsidRDefault="00F720AC">
      <w:pPr>
        <w:pStyle w:val="BodyText"/>
        <w:spacing w:before="93"/>
        <w:ind w:left="120" w:right="162"/>
      </w:pPr>
      <w:r>
        <w:rPr>
          <w:lang w:val="cy-GB"/>
        </w:rPr>
        <w:t>Mae BG yn rhoi strategaethau amrywiol ar waith i geisio cael enillion o ffynonellau amrywiol. Mae rhai o'r rhain yn golygu masnachu llawer o warannau dros dymor byr sy'n golygu nad yw pleidleisio'n ymarferol. O ganlyni</w:t>
      </w:r>
      <w:r>
        <w:rPr>
          <w:lang w:val="cy-GB"/>
        </w:rPr>
        <w:t>ad, fel arfer mae BG yn pleidleisio pan fo hynny'n rhoi budd materol i'w fuddsoddwyr. Gallai hyn fod pan fydd ei ddaliad yn y cwmni'n cynrychioli cyfran berthnasol o asedau BG a reolir neu pan fo gan BG gyfran sylweddol o hawliau pleidleisio'r cwmni.</w:t>
      </w:r>
    </w:p>
    <w:p w14:paraId="397E7490" w14:textId="77777777" w:rsidR="00951A8E" w:rsidRDefault="00951A8E">
      <w:pPr>
        <w:pStyle w:val="BodyText"/>
      </w:pPr>
    </w:p>
    <w:p w14:paraId="434A84AA" w14:textId="77777777" w:rsidR="00951A8E" w:rsidRDefault="00F720AC">
      <w:pPr>
        <w:pStyle w:val="BodyText"/>
        <w:ind w:left="120" w:right="162"/>
      </w:pPr>
      <w:r>
        <w:rPr>
          <w:lang w:val="cy-GB"/>
        </w:rPr>
        <w:t xml:space="preserve">Mae </w:t>
      </w:r>
      <w:r>
        <w:rPr>
          <w:lang w:val="cy-GB"/>
        </w:rPr>
        <w:t>BG yn pleidleisio yn unol â'i ganllawiau. Yn gyffredinol bydd yn cefnogi menter gan y rheolwyr os yw ei farn am dîm rheoli'r cwmni'n ffafriol. Yn gyffredinol bydd BG yn pleidleisio i newid strwythur rheoli dyroddwr pe bai hynny'n cynyddu gwerth i'r cyfrand</w:t>
      </w:r>
      <w:r>
        <w:rPr>
          <w:lang w:val="cy-GB"/>
        </w:rPr>
        <w:t>dalwyr. Fel rheol, bydd yn pleidleisio yn erbyn y rheolwyr os oes gwrthdaro amlwg rhwng buddiannau rheolwyr y dyroddwr a buddiannau'r cyfranddalwyr.</w:t>
      </w:r>
    </w:p>
    <w:p w14:paraId="1CD04B1F" w14:textId="77777777" w:rsidR="00951A8E" w:rsidRDefault="00951A8E">
      <w:pPr>
        <w:sectPr w:rsidR="00951A8E">
          <w:pgSz w:w="11910" w:h="16840"/>
          <w:pgMar w:top="1340" w:right="1320" w:bottom="280" w:left="1320" w:header="720" w:footer="720" w:gutter="0"/>
          <w:cols w:space="720"/>
        </w:sectPr>
      </w:pPr>
    </w:p>
    <w:p w14:paraId="7DDEA42C" w14:textId="77777777" w:rsidR="00951A8E" w:rsidRDefault="00F720AC" w:rsidP="009D2611">
      <w:pPr>
        <w:pStyle w:val="BodyText"/>
        <w:spacing w:before="81"/>
        <w:ind w:left="120" w:right="342"/>
      </w:pPr>
      <w:r>
        <w:rPr>
          <w:lang w:val="cy-GB"/>
        </w:rPr>
        <w:lastRenderedPageBreak/>
        <w:t>Mae BG yn gwerthuso'r holl bleidleisiau fesul achos. Gall fod sefyllfa lle bydd BG yn penderf</w:t>
      </w:r>
      <w:r>
        <w:rPr>
          <w:lang w:val="cy-GB"/>
        </w:rPr>
        <w:t>ynu, er budd gorau ei gleient, beidio â dilyn ei bolisi pleidleisio neu ymatal rhag pleidleisio. Yn y sefyllfa hon, bydd yn gwneud cofnod ysgrifenedig o'r rheswm dros hyn.</w:t>
      </w:r>
    </w:p>
    <w:p w14:paraId="614D29DD" w14:textId="77777777" w:rsidR="00951A8E" w:rsidRDefault="00951A8E">
      <w:pPr>
        <w:pStyle w:val="BodyText"/>
        <w:spacing w:before="10"/>
        <w:rPr>
          <w:sz w:val="19"/>
        </w:rPr>
      </w:pPr>
    </w:p>
    <w:p w14:paraId="684BE31E" w14:textId="77777777" w:rsidR="00951A8E" w:rsidRDefault="00F720AC">
      <w:pPr>
        <w:pStyle w:val="BodyText"/>
        <w:spacing w:before="1"/>
        <w:ind w:left="120"/>
        <w:jc w:val="both"/>
      </w:pPr>
      <w:r>
        <w:rPr>
          <w:u w:val="single"/>
          <w:lang w:val="cy-GB"/>
        </w:rPr>
        <w:t>Enghraifft o Bleidleisio</w:t>
      </w:r>
    </w:p>
    <w:p w14:paraId="4254DBF3" w14:textId="77777777" w:rsidR="00951A8E" w:rsidRDefault="00951A8E">
      <w:pPr>
        <w:pStyle w:val="BodyText"/>
        <w:rPr>
          <w:sz w:val="12"/>
        </w:rPr>
      </w:pPr>
    </w:p>
    <w:p w14:paraId="4C86E240" w14:textId="77777777" w:rsidR="00951A8E" w:rsidRDefault="00F720AC">
      <w:pPr>
        <w:pStyle w:val="BodyText"/>
        <w:spacing w:before="93"/>
        <w:ind w:left="120" w:right="193"/>
      </w:pPr>
      <w:r>
        <w:rPr>
          <w:lang w:val="cy-GB"/>
        </w:rPr>
        <w:t>Ym mis Mai 2022, pleidleisiodd BG yn erbyn rheolwyr SPIE,</w:t>
      </w:r>
      <w:r>
        <w:rPr>
          <w:lang w:val="cy-GB"/>
        </w:rPr>
        <w:t xml:space="preserve"> darparwr atebion technegol peirianyddol, ar gynnig a fyddai'n rhoi awdurdod i'r Bwrdd i benderfynu cynyddu cyfalaf cyfranddaliadau ac felly hawliau tanysgrifio ffafriol. Pleidleisiodd BG yn erbyn y cynnig oherwydd nad yw'n credu y dylai cwmni allu cynyddu</w:t>
      </w:r>
      <w:r>
        <w:rPr>
          <w:lang w:val="cy-GB"/>
        </w:rPr>
        <w:t xml:space="preserve"> cyfalaf cyfranddaliadau heb ymgynghori â'i gyfranddalwyr ac na ddylai cyfranddalwyr gael eu cosbi drwy roi telerau ffafriol i reolwyr. Llwyddodd y bleidlais ond mae BG yn parhau i bleidleisio yn erbyn rheolwyr ar gyfer y mathau hyn o gynigion.</w:t>
      </w:r>
    </w:p>
    <w:p w14:paraId="6DA29D72" w14:textId="77777777" w:rsidR="00951A8E" w:rsidRDefault="00951A8E">
      <w:pPr>
        <w:pStyle w:val="BodyText"/>
      </w:pPr>
    </w:p>
    <w:p w14:paraId="127F0358" w14:textId="77777777" w:rsidR="00951A8E" w:rsidRDefault="00F720AC">
      <w:pPr>
        <w:pStyle w:val="BodyText"/>
        <w:ind w:left="120"/>
      </w:pPr>
      <w:r>
        <w:rPr>
          <w:u w:val="single"/>
          <w:lang w:val="cy-GB"/>
        </w:rPr>
        <w:t>Ymgysylltu</w:t>
      </w:r>
    </w:p>
    <w:p w14:paraId="2DB01439" w14:textId="77777777" w:rsidR="00951A8E" w:rsidRDefault="00951A8E">
      <w:pPr>
        <w:pStyle w:val="BodyText"/>
        <w:spacing w:before="9"/>
        <w:rPr>
          <w:sz w:val="11"/>
        </w:rPr>
      </w:pPr>
    </w:p>
    <w:p w14:paraId="57048C99" w14:textId="77777777" w:rsidR="00951A8E" w:rsidRDefault="00F720AC">
      <w:pPr>
        <w:pStyle w:val="BodyText"/>
        <w:spacing w:before="93"/>
        <w:ind w:left="120"/>
      </w:pPr>
      <w:r>
        <w:rPr>
          <w:lang w:val="cy-GB"/>
        </w:rPr>
        <w:t xml:space="preserve">Mae BG yn ymgysylltu â'r cwmnïau mae'n buddsoddi ynddynt i wella ei ddealltwriaeth o fusnes, diwylliant a phroses lywodraethu cwmni, a hefyd i drafod unrhyw bryderon neu gyfleoedd penodol. Dyma rai o'r pynciau nodweddiadol a drafodir yn ei weithgareddau </w:t>
      </w:r>
      <w:r>
        <w:rPr>
          <w:lang w:val="cy-GB"/>
        </w:rPr>
        <w:t>ymgysylltu:</w:t>
      </w:r>
    </w:p>
    <w:p w14:paraId="6492A4C5" w14:textId="77777777" w:rsidR="00951A8E" w:rsidRDefault="00F720AC">
      <w:pPr>
        <w:pStyle w:val="ListParagraph"/>
        <w:numPr>
          <w:ilvl w:val="0"/>
          <w:numId w:val="1"/>
        </w:numPr>
        <w:tabs>
          <w:tab w:val="left" w:pos="479"/>
          <w:tab w:val="left" w:pos="480"/>
        </w:tabs>
        <w:spacing w:before="2"/>
        <w:rPr>
          <w:sz w:val="20"/>
        </w:rPr>
      </w:pPr>
      <w:r>
        <w:rPr>
          <w:sz w:val="20"/>
          <w:lang w:val="cy-GB"/>
        </w:rPr>
        <w:t>Cyfalaf corfforaethol a'i strwythur ariannu</w:t>
      </w:r>
    </w:p>
    <w:p w14:paraId="68C7F594" w14:textId="77777777" w:rsidR="00951A8E" w:rsidRDefault="00F720AC">
      <w:pPr>
        <w:pStyle w:val="ListParagraph"/>
        <w:numPr>
          <w:ilvl w:val="0"/>
          <w:numId w:val="1"/>
        </w:numPr>
        <w:tabs>
          <w:tab w:val="left" w:pos="479"/>
          <w:tab w:val="left" w:pos="480"/>
        </w:tabs>
        <w:spacing w:line="229" w:lineRule="exact"/>
        <w:ind w:hanging="361"/>
        <w:rPr>
          <w:sz w:val="20"/>
        </w:rPr>
      </w:pPr>
      <w:r>
        <w:rPr>
          <w:sz w:val="20"/>
          <w:lang w:val="cy-GB"/>
        </w:rPr>
        <w:t>Lle mae'r cwmni wedi gwyro oddi wrth ei amcanion strategol a ddatganwyd.</w:t>
      </w:r>
    </w:p>
    <w:p w14:paraId="5A250AB4" w14:textId="77777777" w:rsidR="00951A8E" w:rsidRDefault="00F720AC">
      <w:pPr>
        <w:pStyle w:val="ListParagraph"/>
        <w:numPr>
          <w:ilvl w:val="0"/>
          <w:numId w:val="1"/>
        </w:numPr>
        <w:tabs>
          <w:tab w:val="left" w:pos="479"/>
          <w:tab w:val="left" w:pos="480"/>
        </w:tabs>
        <w:ind w:right="675"/>
        <w:rPr>
          <w:sz w:val="20"/>
        </w:rPr>
      </w:pPr>
      <w:r>
        <w:rPr>
          <w:sz w:val="20"/>
          <w:lang w:val="cy-GB"/>
        </w:rPr>
        <w:t xml:space="preserve">Sefyllfaoedd dadleuol a allai effeithio ar werth i gyfranddalwyr, gan gynnwys materion amgylcheddol, cymdeithasol a </w:t>
      </w:r>
      <w:r>
        <w:rPr>
          <w:sz w:val="20"/>
          <w:lang w:val="cy-GB"/>
        </w:rPr>
        <w:t>llywodraethu.</w:t>
      </w:r>
    </w:p>
    <w:p w14:paraId="5A18705C" w14:textId="77777777" w:rsidR="00951A8E" w:rsidRDefault="00951A8E">
      <w:pPr>
        <w:pStyle w:val="BodyText"/>
      </w:pPr>
    </w:p>
    <w:p w14:paraId="769B5282" w14:textId="1E2F110B" w:rsidR="00951A8E" w:rsidRDefault="00F720AC">
      <w:pPr>
        <w:pStyle w:val="BodyText"/>
        <w:spacing w:before="1"/>
        <w:ind w:left="119" w:right="230"/>
      </w:pPr>
      <w:r>
        <w:rPr>
          <w:lang w:val="cy-GB"/>
        </w:rPr>
        <w:t>Mae polisi ymgysylltu BG yn nodi sut mae'n ymgysylltu â'r cwmnïau mae'n buddsoddi ynddynt. Mae'n llunio adroddiad cyhoeddus bob blwyddyn ar sut mae'r polisi hwn yn cael ei weithredu. Mae rhagor o wybodaeth ar gael yma</w:t>
      </w:r>
      <w:r w:rsidR="009D2611">
        <w:rPr>
          <w:lang w:val="cy-GB"/>
        </w:rPr>
        <w:t>:</w:t>
      </w:r>
      <w:r>
        <w:rPr>
          <w:lang w:val="cy-GB"/>
        </w:rPr>
        <w:t xml:space="preserve"> </w:t>
      </w:r>
      <w:hyperlink r:id="rId14" w:history="1">
        <w:r>
          <w:rPr>
            <w:color w:val="0562C1"/>
            <w:u w:val="single" w:color="0562C1"/>
            <w:lang w:val="cy-GB"/>
          </w:rPr>
          <w:t>https://www.boussard-gavaudan.com/files/upload/Regulatory-</w:t>
        </w:r>
      </w:hyperlink>
      <w:r>
        <w:rPr>
          <w:color w:val="0562C1"/>
          <w:lang w:val="cy-GB"/>
        </w:rPr>
        <w:t xml:space="preserve"> </w:t>
      </w:r>
      <w:hyperlink r:id="rId15" w:history="1">
        <w:r>
          <w:rPr>
            <w:color w:val="0562C1"/>
            <w:spacing w:val="-2"/>
            <w:u w:val="single" w:color="0562C1"/>
            <w:lang w:val="cy-GB"/>
          </w:rPr>
          <w:t>disclosure/Engagement_Policy_2020_FINAL.pdf</w:t>
        </w:r>
      </w:hyperlink>
    </w:p>
    <w:p w14:paraId="3FB9444E" w14:textId="77777777" w:rsidR="00951A8E" w:rsidRDefault="00951A8E">
      <w:pPr>
        <w:pStyle w:val="BodyText"/>
        <w:spacing w:before="9"/>
        <w:rPr>
          <w:sz w:val="11"/>
        </w:rPr>
      </w:pPr>
    </w:p>
    <w:p w14:paraId="417E4093" w14:textId="77777777" w:rsidR="00951A8E" w:rsidRDefault="00F720AC">
      <w:pPr>
        <w:pStyle w:val="BodyText"/>
        <w:spacing w:before="93"/>
        <w:ind w:left="120"/>
      </w:pPr>
      <w:r>
        <w:rPr>
          <w:u w:val="single"/>
          <w:lang w:val="cy-GB"/>
        </w:rPr>
        <w:t>Enghraifft o Ymgysyll</w:t>
      </w:r>
      <w:r>
        <w:rPr>
          <w:u w:val="single"/>
          <w:lang w:val="cy-GB"/>
        </w:rPr>
        <w:t>tu</w:t>
      </w:r>
    </w:p>
    <w:p w14:paraId="238011E2" w14:textId="77777777" w:rsidR="00951A8E" w:rsidRDefault="00951A8E">
      <w:pPr>
        <w:pStyle w:val="BodyText"/>
        <w:rPr>
          <w:sz w:val="12"/>
        </w:rPr>
      </w:pPr>
    </w:p>
    <w:p w14:paraId="033AD3B6" w14:textId="77777777" w:rsidR="00951A8E" w:rsidRDefault="00F720AC" w:rsidP="009D2611">
      <w:pPr>
        <w:pStyle w:val="BodyText"/>
        <w:spacing w:before="93"/>
        <w:ind w:left="120" w:right="121"/>
      </w:pPr>
      <w:r>
        <w:rPr>
          <w:lang w:val="cy-GB"/>
        </w:rPr>
        <w:t xml:space="preserve">Yn ail chwarter 2021, bu BG yn ymgysylltu â chwmni rheoli asedau a oedd yn perfformio'n wael mewn materion ESG ym marn BG. Roedd BG yn awyddus i weld y cwmni'n rhoi gwelliannau ar waith, gan gynnwys gwella ei sgôr ESG gan asiantaeth sgorio ESG trydydd </w:t>
      </w:r>
      <w:r>
        <w:rPr>
          <w:lang w:val="cy-GB"/>
        </w:rPr>
        <w:t>parti. Yn ddiweddarach yn y flwyddyn, dechreuodd y cwmni wella ei brosesau adrodd ar faterion ESG a'i ddatgeliadau ac, o ganlyniad, gwelwyd gwelliant sylweddol yn ei sgôr ESG.</w:t>
      </w:r>
    </w:p>
    <w:p w14:paraId="02D8A0F9" w14:textId="77777777" w:rsidR="00951A8E" w:rsidRDefault="00951A8E">
      <w:pPr>
        <w:pStyle w:val="BodyText"/>
        <w:spacing w:before="11"/>
        <w:rPr>
          <w:sz w:val="19"/>
        </w:rPr>
      </w:pPr>
    </w:p>
    <w:p w14:paraId="4BA4183F" w14:textId="77777777" w:rsidR="00951A8E" w:rsidRDefault="00F720AC">
      <w:pPr>
        <w:pStyle w:val="Heading2"/>
        <w:jc w:val="both"/>
      </w:pPr>
      <w:r>
        <w:rPr>
          <w:lang w:val="cy-GB"/>
        </w:rPr>
        <w:t>Crynodeb Gweithredol</w:t>
      </w:r>
    </w:p>
    <w:p w14:paraId="714304AB" w14:textId="77777777" w:rsidR="00951A8E" w:rsidRDefault="00951A8E">
      <w:pPr>
        <w:pStyle w:val="BodyText"/>
        <w:spacing w:before="10"/>
        <w:rPr>
          <w:b/>
          <w:sz w:val="19"/>
        </w:rPr>
      </w:pPr>
    </w:p>
    <w:p w14:paraId="3316F9E0" w14:textId="77777777" w:rsidR="00951A8E" w:rsidRDefault="00F720AC" w:rsidP="009D2611">
      <w:pPr>
        <w:pStyle w:val="BodyText"/>
        <w:ind w:left="119" w:right="118"/>
      </w:pPr>
      <w:r>
        <w:rPr>
          <w:lang w:val="cy-GB"/>
        </w:rPr>
        <w:t>Yn seiliedig ar weithgarwch dros y flwyddyn gan yr Ymddir</w:t>
      </w:r>
      <w:r>
        <w:rPr>
          <w:lang w:val="cy-GB"/>
        </w:rPr>
        <w:t>iedolwyr a'u rheolwyr buddsoddi, cred yr Ymddiriedolwyr fod y polisi stiwardiaeth wedi cael ei weithredu'n effeithiol. Mae'r Ymddiriedolwyr yn nodi bod y rhan fwyaf o'u rheolwyr buddsoddi'n gallu datgelu tystiolaeth o weithgarwch pleidleisio ac ymgysylltu.</w:t>
      </w:r>
      <w:r>
        <w:rPr>
          <w:lang w:val="cy-GB"/>
        </w:rPr>
        <w:t xml:space="preserve"> Mae'r Ymddiriedolwyr yn disgwyl i Abrdn wella ei weithgarwch pleidleisio. Mae'r Ymddiriedolwyr hefyd yn disgwyl gweld gwelliant yng ngweithgarwch pleidleisio Boussard and Gavauden a Marshall Wace, sef rheolwyr isorweddol Strategaeth Arallgyfeirwyr Gweithr</w:t>
      </w:r>
      <w:r>
        <w:rPr>
          <w:lang w:val="cy-GB"/>
        </w:rPr>
        <w:t>edol AIL.</w:t>
      </w:r>
    </w:p>
    <w:p w14:paraId="137CD3A1" w14:textId="77777777" w:rsidR="00951A8E" w:rsidRDefault="00951A8E">
      <w:pPr>
        <w:pStyle w:val="BodyText"/>
        <w:spacing w:before="1"/>
      </w:pPr>
    </w:p>
    <w:p w14:paraId="36CF8561" w14:textId="77777777" w:rsidR="00951A8E" w:rsidRDefault="00F720AC" w:rsidP="009D2611">
      <w:pPr>
        <w:pStyle w:val="BodyText"/>
        <w:ind w:left="119" w:right="120"/>
      </w:pPr>
      <w:r>
        <w:rPr>
          <w:lang w:val="cy-GB"/>
        </w:rPr>
        <w:t>Mae'r Ymddiriedolwyr yn disgwyl gwelliannau mewn datgelu dros amser, yn unol â'r disgwyliadau cynyddol o reolwyr asedau a'u dylanwad sylweddol i greu canlyniadau cadarnhaol i'r Cynllun drwy bleidleisio ac ymgysylltu ystyrlon.</w:t>
      </w:r>
    </w:p>
    <w:p w14:paraId="523CB56D" w14:textId="77777777" w:rsidR="00951A8E" w:rsidRDefault="00951A8E">
      <w:pPr>
        <w:jc w:val="both"/>
        <w:sectPr w:rsidR="00951A8E">
          <w:pgSz w:w="11910" w:h="16840"/>
          <w:pgMar w:top="1340" w:right="1320" w:bottom="280" w:left="1320" w:header="720" w:footer="720" w:gutter="0"/>
          <w:cols w:space="720"/>
        </w:sectPr>
      </w:pPr>
    </w:p>
    <w:p w14:paraId="7E08F29B" w14:textId="77777777" w:rsidR="00951A8E" w:rsidRDefault="00F720AC">
      <w:pPr>
        <w:pStyle w:val="Heading1"/>
        <w:spacing w:before="82"/>
        <w:jc w:val="left"/>
      </w:pPr>
      <w:r>
        <w:rPr>
          <w:spacing w:val="-2"/>
          <w:lang w:val="cy-GB"/>
        </w:rPr>
        <w:lastRenderedPageBreak/>
        <w:t xml:space="preserve">Atodiad </w:t>
      </w:r>
    </w:p>
    <w:p w14:paraId="3850269C" w14:textId="77777777" w:rsidR="00951A8E" w:rsidRDefault="00951A8E">
      <w:pPr>
        <w:pStyle w:val="BodyText"/>
        <w:rPr>
          <w:b/>
          <w:sz w:val="24"/>
        </w:rPr>
      </w:pPr>
    </w:p>
    <w:p w14:paraId="75E603B6" w14:textId="77777777" w:rsidR="00951A8E" w:rsidRDefault="00F720AC">
      <w:pPr>
        <w:spacing w:line="276" w:lineRule="exact"/>
        <w:ind w:left="120"/>
        <w:rPr>
          <w:b/>
          <w:sz w:val="24"/>
        </w:rPr>
      </w:pPr>
      <w:r>
        <w:rPr>
          <w:b/>
          <w:bCs/>
          <w:sz w:val="24"/>
          <w:lang w:val="cy-GB"/>
        </w:rPr>
        <w:t>Ystadegau Pleidleisio'r flwyddyn a ddaeth i ben ar 30 Mehefin 2022.</w:t>
      </w:r>
    </w:p>
    <w:p w14:paraId="1429638B" w14:textId="77777777" w:rsidR="00951A8E" w:rsidRDefault="00F720AC">
      <w:pPr>
        <w:pStyle w:val="BodyText"/>
        <w:ind w:left="120" w:right="230"/>
      </w:pPr>
      <w:r>
        <w:rPr>
          <w:lang w:val="cy-GB"/>
        </w:rPr>
        <w:t>Mae'r tabl isod yn dangos yr ystadegau pleidleisio ar gyfer y cronfeydd ecwiti materol a'r cronfeydd rhagfantoli y mae'r Cynllun yn buddsoddi ynddynt ar gyfer y flwyddyn hyd at 3</w:t>
      </w:r>
      <w:r>
        <w:rPr>
          <w:lang w:val="cy-GB"/>
        </w:rPr>
        <w:t>0 Mehefin 2022. Mae rheolwyr buddsoddi yn darparu gwybodaeth am stiwardiaeth bob chwarter.  Felly, mae'r wybodaeth am bleidleisio yn y datganiad hwn ar gyfer y cyfnod 1 Gorffennaf 2021 tan 30 Mehefin 2022.</w:t>
      </w:r>
    </w:p>
    <w:p w14:paraId="12DC79E1" w14:textId="77777777" w:rsidR="00951A8E" w:rsidRDefault="00951A8E">
      <w:pPr>
        <w:pStyle w:val="BodyText"/>
        <w:spacing w:before="11"/>
        <w:rPr>
          <w:sz w:val="1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98"/>
        <w:gridCol w:w="1796"/>
        <w:gridCol w:w="1801"/>
        <w:gridCol w:w="1803"/>
      </w:tblGrid>
      <w:tr w:rsidR="00CE0C3D" w14:paraId="5E8B800F" w14:textId="77777777">
        <w:trPr>
          <w:trHeight w:val="1379"/>
        </w:trPr>
        <w:tc>
          <w:tcPr>
            <w:tcW w:w="1822" w:type="dxa"/>
          </w:tcPr>
          <w:p w14:paraId="2F3C70ED" w14:textId="77777777" w:rsidR="00951A8E" w:rsidRDefault="00951A8E">
            <w:pPr>
              <w:pStyle w:val="TableParagraph"/>
              <w:spacing w:line="240" w:lineRule="auto"/>
              <w:ind w:left="0"/>
              <w:rPr>
                <w:rFonts w:ascii="Times New Roman"/>
                <w:sz w:val="20"/>
              </w:rPr>
            </w:pPr>
          </w:p>
        </w:tc>
        <w:tc>
          <w:tcPr>
            <w:tcW w:w="1798" w:type="dxa"/>
          </w:tcPr>
          <w:p w14:paraId="3CC4F2D0" w14:textId="77777777" w:rsidR="00951A8E" w:rsidRDefault="00F720AC">
            <w:pPr>
              <w:pStyle w:val="TableParagraph"/>
              <w:spacing w:line="240" w:lineRule="auto"/>
              <w:ind w:right="123"/>
              <w:rPr>
                <w:sz w:val="20"/>
              </w:rPr>
            </w:pPr>
            <w:r>
              <w:rPr>
                <w:sz w:val="20"/>
                <w:lang w:val="cy-GB"/>
              </w:rPr>
              <w:t>Nifer y cynigion roedd y gronfa'n gymwys i bleid</w:t>
            </w:r>
            <w:r>
              <w:rPr>
                <w:sz w:val="20"/>
                <w:lang w:val="cy-GB"/>
              </w:rPr>
              <w:t>leisio arnynt dros y cyfnod</w:t>
            </w:r>
          </w:p>
        </w:tc>
        <w:tc>
          <w:tcPr>
            <w:tcW w:w="1796" w:type="dxa"/>
          </w:tcPr>
          <w:p w14:paraId="6AA3F0AC" w14:textId="77777777" w:rsidR="00951A8E" w:rsidRDefault="00F720AC">
            <w:pPr>
              <w:pStyle w:val="TableParagraph"/>
              <w:spacing w:line="240" w:lineRule="auto"/>
              <w:ind w:right="131"/>
              <w:rPr>
                <w:sz w:val="20"/>
              </w:rPr>
            </w:pPr>
            <w:r>
              <w:rPr>
                <w:sz w:val="20"/>
                <w:lang w:val="cy-GB"/>
              </w:rPr>
              <w:t>% y cynigion y pleidleisiwyd arnynt lle'r oedd y gronfa'n gymwys i bleidleisio</w:t>
            </w:r>
          </w:p>
        </w:tc>
        <w:tc>
          <w:tcPr>
            <w:tcW w:w="1801" w:type="dxa"/>
          </w:tcPr>
          <w:p w14:paraId="2E54F1E5" w14:textId="77777777" w:rsidR="00951A8E" w:rsidRDefault="00F720AC">
            <w:pPr>
              <w:pStyle w:val="TableParagraph"/>
              <w:spacing w:line="240" w:lineRule="auto"/>
              <w:ind w:left="106" w:right="104"/>
              <w:rPr>
                <w:sz w:val="20"/>
              </w:rPr>
            </w:pPr>
            <w:r>
              <w:rPr>
                <w:sz w:val="20"/>
                <w:lang w:val="cy-GB"/>
              </w:rPr>
              <w:t>O'r cynigion y pleidleisiodd y gronfa arnynt, y ganran lle pleidleisiodd</w:t>
            </w:r>
          </w:p>
          <w:p w14:paraId="0BD097E4" w14:textId="77777777" w:rsidR="00951A8E" w:rsidRDefault="00F720AC">
            <w:pPr>
              <w:pStyle w:val="TableParagraph"/>
              <w:spacing w:line="230" w:lineRule="exact"/>
              <w:ind w:left="106" w:right="517"/>
              <w:rPr>
                <w:sz w:val="20"/>
              </w:rPr>
            </w:pPr>
            <w:r>
              <w:rPr>
                <w:sz w:val="20"/>
                <w:lang w:val="cy-GB"/>
              </w:rPr>
              <w:t>yn erbyn y rheolwyr</w:t>
            </w:r>
          </w:p>
        </w:tc>
        <w:tc>
          <w:tcPr>
            <w:tcW w:w="1803" w:type="dxa"/>
          </w:tcPr>
          <w:p w14:paraId="5C5FB40F" w14:textId="77777777" w:rsidR="00951A8E" w:rsidRDefault="00F720AC">
            <w:pPr>
              <w:pStyle w:val="TableParagraph"/>
              <w:spacing w:line="240" w:lineRule="auto"/>
              <w:ind w:left="105" w:right="107"/>
              <w:rPr>
                <w:sz w:val="20"/>
              </w:rPr>
            </w:pPr>
            <w:r>
              <w:rPr>
                <w:sz w:val="20"/>
                <w:lang w:val="cy-GB"/>
              </w:rPr>
              <w:t xml:space="preserve">O'r cynigion y pleidleisiodd y gronfa arnynt, y </w:t>
            </w:r>
            <w:r>
              <w:rPr>
                <w:sz w:val="20"/>
                <w:lang w:val="cy-GB"/>
              </w:rPr>
              <w:t>ganran lle ymatalodd rhag pleidleisio</w:t>
            </w:r>
          </w:p>
        </w:tc>
      </w:tr>
      <w:tr w:rsidR="00CE0C3D" w14:paraId="16B02A31" w14:textId="77777777">
        <w:trPr>
          <w:trHeight w:val="460"/>
        </w:trPr>
        <w:tc>
          <w:tcPr>
            <w:tcW w:w="1822" w:type="dxa"/>
          </w:tcPr>
          <w:p w14:paraId="28BCACC5" w14:textId="77777777" w:rsidR="00951A8E" w:rsidRDefault="00F720AC">
            <w:pPr>
              <w:pStyle w:val="TableParagraph"/>
              <w:tabs>
                <w:tab w:val="left" w:pos="1132"/>
              </w:tabs>
              <w:spacing w:line="230" w:lineRule="exact"/>
              <w:ind w:right="98"/>
              <w:rPr>
                <w:sz w:val="20"/>
              </w:rPr>
            </w:pPr>
            <w:r>
              <w:rPr>
                <w:sz w:val="20"/>
                <w:lang w:val="cy-GB"/>
              </w:rPr>
              <w:t>MFS</w:t>
            </w:r>
            <w:r>
              <w:rPr>
                <w:sz w:val="20"/>
                <w:lang w:val="cy-GB"/>
              </w:rPr>
              <w:tab/>
              <w:t>Global Equity Fund</w:t>
            </w:r>
          </w:p>
        </w:tc>
        <w:tc>
          <w:tcPr>
            <w:tcW w:w="1798" w:type="dxa"/>
          </w:tcPr>
          <w:p w14:paraId="693CDBEE" w14:textId="77777777" w:rsidR="00951A8E" w:rsidRDefault="00F720AC">
            <w:pPr>
              <w:pStyle w:val="TableParagraph"/>
              <w:rPr>
                <w:sz w:val="20"/>
              </w:rPr>
            </w:pPr>
            <w:r>
              <w:rPr>
                <w:sz w:val="20"/>
                <w:lang w:val="cy-GB"/>
              </w:rPr>
              <w:t>1,432</w:t>
            </w:r>
          </w:p>
        </w:tc>
        <w:tc>
          <w:tcPr>
            <w:tcW w:w="1796" w:type="dxa"/>
          </w:tcPr>
          <w:p w14:paraId="5ECE158C" w14:textId="77777777" w:rsidR="00951A8E" w:rsidRDefault="00F720AC">
            <w:pPr>
              <w:pStyle w:val="TableParagraph"/>
              <w:rPr>
                <w:sz w:val="20"/>
              </w:rPr>
            </w:pPr>
            <w:r>
              <w:rPr>
                <w:sz w:val="20"/>
                <w:lang w:val="cy-GB"/>
              </w:rPr>
              <w:t>100.0%</w:t>
            </w:r>
          </w:p>
        </w:tc>
        <w:tc>
          <w:tcPr>
            <w:tcW w:w="1801" w:type="dxa"/>
          </w:tcPr>
          <w:p w14:paraId="231D7EC4" w14:textId="77777777" w:rsidR="00951A8E" w:rsidRDefault="00F720AC">
            <w:pPr>
              <w:pStyle w:val="TableParagraph"/>
              <w:ind w:left="106"/>
              <w:rPr>
                <w:sz w:val="20"/>
              </w:rPr>
            </w:pPr>
            <w:r>
              <w:rPr>
                <w:sz w:val="20"/>
                <w:lang w:val="cy-GB"/>
              </w:rPr>
              <w:t>5.2%</w:t>
            </w:r>
          </w:p>
        </w:tc>
        <w:tc>
          <w:tcPr>
            <w:tcW w:w="1803" w:type="dxa"/>
          </w:tcPr>
          <w:p w14:paraId="3D94F60D" w14:textId="77777777" w:rsidR="00951A8E" w:rsidRDefault="00F720AC">
            <w:pPr>
              <w:pStyle w:val="TableParagraph"/>
              <w:ind w:left="105"/>
              <w:rPr>
                <w:sz w:val="20"/>
              </w:rPr>
            </w:pPr>
            <w:r>
              <w:rPr>
                <w:sz w:val="20"/>
                <w:lang w:val="cy-GB"/>
              </w:rPr>
              <w:t>0.0%</w:t>
            </w:r>
          </w:p>
        </w:tc>
      </w:tr>
      <w:tr w:rsidR="00CE0C3D" w14:paraId="7B046F89" w14:textId="77777777">
        <w:trPr>
          <w:trHeight w:val="460"/>
        </w:trPr>
        <w:tc>
          <w:tcPr>
            <w:tcW w:w="1822" w:type="dxa"/>
          </w:tcPr>
          <w:p w14:paraId="7F4F48A1" w14:textId="77777777" w:rsidR="00951A8E" w:rsidRDefault="00F720AC">
            <w:pPr>
              <w:pStyle w:val="TableParagraph"/>
              <w:tabs>
                <w:tab w:val="left" w:pos="1189"/>
              </w:tabs>
              <w:spacing w:line="230" w:lineRule="exact"/>
              <w:ind w:right="98"/>
              <w:rPr>
                <w:sz w:val="20"/>
              </w:rPr>
            </w:pPr>
            <w:r>
              <w:rPr>
                <w:sz w:val="20"/>
                <w:lang w:val="cy-GB"/>
              </w:rPr>
              <w:t>LGIM</w:t>
            </w:r>
            <w:r>
              <w:rPr>
                <w:sz w:val="20"/>
                <w:lang w:val="cy-GB"/>
              </w:rPr>
              <w:tab/>
              <w:t>World Equity Index Fund</w:t>
            </w:r>
          </w:p>
        </w:tc>
        <w:tc>
          <w:tcPr>
            <w:tcW w:w="1798" w:type="dxa"/>
          </w:tcPr>
          <w:p w14:paraId="1FA2367C" w14:textId="77777777" w:rsidR="00951A8E" w:rsidRDefault="00F720AC">
            <w:pPr>
              <w:pStyle w:val="TableParagraph"/>
              <w:rPr>
                <w:sz w:val="20"/>
              </w:rPr>
            </w:pPr>
            <w:r>
              <w:rPr>
                <w:sz w:val="20"/>
                <w:lang w:val="cy-GB"/>
              </w:rPr>
              <w:t>38,574</w:t>
            </w:r>
          </w:p>
        </w:tc>
        <w:tc>
          <w:tcPr>
            <w:tcW w:w="1796" w:type="dxa"/>
          </w:tcPr>
          <w:p w14:paraId="2D10FF66" w14:textId="77777777" w:rsidR="00951A8E" w:rsidRDefault="00F720AC">
            <w:pPr>
              <w:pStyle w:val="TableParagraph"/>
              <w:rPr>
                <w:sz w:val="20"/>
              </w:rPr>
            </w:pPr>
            <w:r>
              <w:rPr>
                <w:sz w:val="20"/>
                <w:lang w:val="cy-GB"/>
              </w:rPr>
              <w:t>99.8%</w:t>
            </w:r>
          </w:p>
        </w:tc>
        <w:tc>
          <w:tcPr>
            <w:tcW w:w="1801" w:type="dxa"/>
          </w:tcPr>
          <w:p w14:paraId="0022C96B" w14:textId="77777777" w:rsidR="00951A8E" w:rsidRDefault="00F720AC">
            <w:pPr>
              <w:pStyle w:val="TableParagraph"/>
              <w:ind w:left="106"/>
              <w:rPr>
                <w:sz w:val="20"/>
              </w:rPr>
            </w:pPr>
            <w:r>
              <w:rPr>
                <w:sz w:val="20"/>
                <w:lang w:val="cy-GB"/>
              </w:rPr>
              <w:t>20.3%</w:t>
            </w:r>
          </w:p>
        </w:tc>
        <w:tc>
          <w:tcPr>
            <w:tcW w:w="1803" w:type="dxa"/>
          </w:tcPr>
          <w:p w14:paraId="5195CDC9" w14:textId="77777777" w:rsidR="00951A8E" w:rsidRDefault="00F720AC">
            <w:pPr>
              <w:pStyle w:val="TableParagraph"/>
              <w:ind w:left="105"/>
              <w:rPr>
                <w:sz w:val="20"/>
              </w:rPr>
            </w:pPr>
            <w:r>
              <w:rPr>
                <w:sz w:val="20"/>
                <w:lang w:val="cy-GB"/>
              </w:rPr>
              <w:t>0.7%</w:t>
            </w:r>
          </w:p>
        </w:tc>
      </w:tr>
      <w:tr w:rsidR="00CE0C3D" w14:paraId="322CF78D" w14:textId="77777777">
        <w:trPr>
          <w:trHeight w:val="460"/>
        </w:trPr>
        <w:tc>
          <w:tcPr>
            <w:tcW w:w="1822" w:type="dxa"/>
          </w:tcPr>
          <w:p w14:paraId="7437C8FC" w14:textId="77777777" w:rsidR="00951A8E" w:rsidRDefault="00F720AC">
            <w:pPr>
              <w:pStyle w:val="TableParagraph"/>
              <w:spacing w:line="230" w:lineRule="exact"/>
              <w:rPr>
                <w:sz w:val="20"/>
              </w:rPr>
            </w:pPr>
            <w:r>
              <w:rPr>
                <w:sz w:val="20"/>
                <w:lang w:val="cy-GB"/>
              </w:rPr>
              <w:t>Schroders Global Active Value</w:t>
            </w:r>
          </w:p>
        </w:tc>
        <w:tc>
          <w:tcPr>
            <w:tcW w:w="1798" w:type="dxa"/>
          </w:tcPr>
          <w:p w14:paraId="1B26733F" w14:textId="77777777" w:rsidR="00951A8E" w:rsidRDefault="00F720AC">
            <w:pPr>
              <w:pStyle w:val="TableParagraph"/>
              <w:rPr>
                <w:sz w:val="20"/>
              </w:rPr>
            </w:pPr>
            <w:r>
              <w:rPr>
                <w:sz w:val="20"/>
                <w:lang w:val="cy-GB"/>
              </w:rPr>
              <w:t>7,841</w:t>
            </w:r>
          </w:p>
        </w:tc>
        <w:tc>
          <w:tcPr>
            <w:tcW w:w="1796" w:type="dxa"/>
          </w:tcPr>
          <w:p w14:paraId="2D1FE991" w14:textId="77777777" w:rsidR="00951A8E" w:rsidRDefault="00F720AC">
            <w:pPr>
              <w:pStyle w:val="TableParagraph"/>
              <w:rPr>
                <w:sz w:val="20"/>
              </w:rPr>
            </w:pPr>
            <w:r>
              <w:rPr>
                <w:sz w:val="20"/>
                <w:lang w:val="cy-GB"/>
              </w:rPr>
              <w:t>97.4%</w:t>
            </w:r>
          </w:p>
        </w:tc>
        <w:tc>
          <w:tcPr>
            <w:tcW w:w="1801" w:type="dxa"/>
          </w:tcPr>
          <w:p w14:paraId="3C502390" w14:textId="77777777" w:rsidR="00951A8E" w:rsidRDefault="00F720AC">
            <w:pPr>
              <w:pStyle w:val="TableParagraph"/>
              <w:ind w:left="106"/>
              <w:rPr>
                <w:sz w:val="20"/>
              </w:rPr>
            </w:pPr>
            <w:r>
              <w:rPr>
                <w:sz w:val="20"/>
                <w:lang w:val="cy-GB"/>
              </w:rPr>
              <w:t>12.0%</w:t>
            </w:r>
          </w:p>
        </w:tc>
        <w:tc>
          <w:tcPr>
            <w:tcW w:w="1803" w:type="dxa"/>
          </w:tcPr>
          <w:p w14:paraId="69711484" w14:textId="77777777" w:rsidR="00951A8E" w:rsidRDefault="00F720AC">
            <w:pPr>
              <w:pStyle w:val="TableParagraph"/>
              <w:ind w:left="105"/>
              <w:rPr>
                <w:sz w:val="20"/>
              </w:rPr>
            </w:pPr>
            <w:r>
              <w:rPr>
                <w:sz w:val="20"/>
                <w:lang w:val="cy-GB"/>
              </w:rPr>
              <w:t>0.0%</w:t>
            </w:r>
          </w:p>
        </w:tc>
      </w:tr>
      <w:tr w:rsidR="00CE0C3D" w14:paraId="64084A42" w14:textId="77777777">
        <w:trPr>
          <w:trHeight w:val="918"/>
        </w:trPr>
        <w:tc>
          <w:tcPr>
            <w:tcW w:w="1822" w:type="dxa"/>
          </w:tcPr>
          <w:p w14:paraId="0221AFC6" w14:textId="77777777" w:rsidR="00951A8E" w:rsidRDefault="00F720AC" w:rsidP="00F720AC">
            <w:pPr>
              <w:pStyle w:val="TableParagraph"/>
              <w:spacing w:line="240" w:lineRule="auto"/>
              <w:ind w:right="98"/>
              <w:rPr>
                <w:sz w:val="20"/>
              </w:rPr>
            </w:pPr>
            <w:r>
              <w:rPr>
                <w:sz w:val="20"/>
                <w:lang w:val="cy-GB"/>
              </w:rPr>
              <w:t>Aberdeen Global Absolute Return Strategy</w:t>
            </w:r>
          </w:p>
        </w:tc>
        <w:tc>
          <w:tcPr>
            <w:tcW w:w="1798" w:type="dxa"/>
          </w:tcPr>
          <w:p w14:paraId="6160E059" w14:textId="77777777" w:rsidR="00951A8E" w:rsidRDefault="00F720AC">
            <w:pPr>
              <w:pStyle w:val="TableParagraph"/>
              <w:rPr>
                <w:sz w:val="20"/>
              </w:rPr>
            </w:pPr>
            <w:r>
              <w:rPr>
                <w:sz w:val="20"/>
                <w:lang w:val="cy-GB"/>
              </w:rPr>
              <w:t>162</w:t>
            </w:r>
          </w:p>
        </w:tc>
        <w:tc>
          <w:tcPr>
            <w:tcW w:w="1796" w:type="dxa"/>
          </w:tcPr>
          <w:p w14:paraId="5C8B909F" w14:textId="77777777" w:rsidR="00951A8E" w:rsidRDefault="00F720AC">
            <w:pPr>
              <w:pStyle w:val="TableParagraph"/>
              <w:rPr>
                <w:sz w:val="20"/>
              </w:rPr>
            </w:pPr>
            <w:r>
              <w:rPr>
                <w:sz w:val="20"/>
                <w:lang w:val="cy-GB"/>
              </w:rPr>
              <w:t>72.2%</w:t>
            </w:r>
          </w:p>
        </w:tc>
        <w:tc>
          <w:tcPr>
            <w:tcW w:w="1801" w:type="dxa"/>
          </w:tcPr>
          <w:p w14:paraId="71380FE1" w14:textId="77777777" w:rsidR="00951A8E" w:rsidRDefault="00F720AC">
            <w:pPr>
              <w:pStyle w:val="TableParagraph"/>
              <w:ind w:left="106"/>
              <w:rPr>
                <w:sz w:val="20"/>
              </w:rPr>
            </w:pPr>
            <w:r>
              <w:rPr>
                <w:sz w:val="20"/>
                <w:lang w:val="cy-GB"/>
              </w:rPr>
              <w:t>15.4%</w:t>
            </w:r>
          </w:p>
        </w:tc>
        <w:tc>
          <w:tcPr>
            <w:tcW w:w="1803" w:type="dxa"/>
          </w:tcPr>
          <w:p w14:paraId="0EC62F11" w14:textId="77777777" w:rsidR="00951A8E" w:rsidRDefault="00F720AC">
            <w:pPr>
              <w:pStyle w:val="TableParagraph"/>
              <w:ind w:left="105"/>
              <w:rPr>
                <w:sz w:val="20"/>
              </w:rPr>
            </w:pPr>
            <w:r>
              <w:rPr>
                <w:sz w:val="20"/>
                <w:lang w:val="cy-GB"/>
              </w:rPr>
              <w:t>0.9%</w:t>
            </w:r>
          </w:p>
        </w:tc>
      </w:tr>
      <w:tr w:rsidR="00CE0C3D" w14:paraId="5BC4D6CB" w14:textId="77777777">
        <w:trPr>
          <w:trHeight w:val="690"/>
        </w:trPr>
        <w:tc>
          <w:tcPr>
            <w:tcW w:w="1822" w:type="dxa"/>
          </w:tcPr>
          <w:p w14:paraId="342D693E" w14:textId="77198C84" w:rsidR="00951A8E" w:rsidRDefault="00F720AC" w:rsidP="00F720AC">
            <w:pPr>
              <w:pStyle w:val="TableParagraph"/>
              <w:tabs>
                <w:tab w:val="left" w:pos="1377"/>
              </w:tabs>
              <w:rPr>
                <w:sz w:val="20"/>
              </w:rPr>
            </w:pPr>
            <w:r>
              <w:rPr>
                <w:sz w:val="20"/>
                <w:lang w:val="cy-GB"/>
              </w:rPr>
              <w:t xml:space="preserve">Boussard </w:t>
            </w:r>
            <w:r>
              <w:rPr>
                <w:sz w:val="20"/>
                <w:lang w:val="cy-GB"/>
              </w:rPr>
              <w:t xml:space="preserve">and </w:t>
            </w:r>
            <w:r>
              <w:rPr>
                <w:sz w:val="20"/>
                <w:lang w:val="cy-GB"/>
              </w:rPr>
              <w:t xml:space="preserve">Gavaudan </w:t>
            </w:r>
            <w:r>
              <w:rPr>
                <w:sz w:val="20"/>
                <w:lang w:val="cy-GB"/>
              </w:rPr>
              <w:t>BG Fund</w:t>
            </w:r>
          </w:p>
        </w:tc>
        <w:tc>
          <w:tcPr>
            <w:tcW w:w="1798" w:type="dxa"/>
          </w:tcPr>
          <w:p w14:paraId="4D2B3A27" w14:textId="77777777" w:rsidR="00951A8E" w:rsidRDefault="00F720AC">
            <w:pPr>
              <w:pStyle w:val="TableParagraph"/>
              <w:rPr>
                <w:sz w:val="20"/>
              </w:rPr>
            </w:pPr>
            <w:r>
              <w:rPr>
                <w:sz w:val="20"/>
                <w:lang w:val="cy-GB"/>
              </w:rPr>
              <w:t>2</w:t>
            </w:r>
            <w:r>
              <w:rPr>
                <w:sz w:val="20"/>
                <w:lang w:val="cy-GB"/>
              </w:rPr>
              <w:t>,862</w:t>
            </w:r>
          </w:p>
        </w:tc>
        <w:tc>
          <w:tcPr>
            <w:tcW w:w="1796" w:type="dxa"/>
          </w:tcPr>
          <w:p w14:paraId="0E62C0B7" w14:textId="77777777" w:rsidR="00951A8E" w:rsidRDefault="00F720AC">
            <w:pPr>
              <w:pStyle w:val="TableParagraph"/>
              <w:rPr>
                <w:sz w:val="20"/>
              </w:rPr>
            </w:pPr>
            <w:r>
              <w:rPr>
                <w:sz w:val="20"/>
                <w:lang w:val="cy-GB"/>
              </w:rPr>
              <w:t>29.9%</w:t>
            </w:r>
          </w:p>
        </w:tc>
        <w:tc>
          <w:tcPr>
            <w:tcW w:w="1801" w:type="dxa"/>
          </w:tcPr>
          <w:p w14:paraId="7D87D816" w14:textId="77777777" w:rsidR="00951A8E" w:rsidRDefault="00F720AC">
            <w:pPr>
              <w:pStyle w:val="TableParagraph"/>
              <w:ind w:left="106"/>
              <w:rPr>
                <w:sz w:val="20"/>
              </w:rPr>
            </w:pPr>
            <w:r>
              <w:rPr>
                <w:sz w:val="20"/>
                <w:lang w:val="cy-GB"/>
              </w:rPr>
              <w:t>0.8%</w:t>
            </w:r>
          </w:p>
        </w:tc>
        <w:tc>
          <w:tcPr>
            <w:tcW w:w="1803" w:type="dxa"/>
          </w:tcPr>
          <w:p w14:paraId="5F79B941" w14:textId="77777777" w:rsidR="00951A8E" w:rsidRDefault="00F720AC">
            <w:pPr>
              <w:pStyle w:val="TableParagraph"/>
              <w:ind w:left="105"/>
              <w:rPr>
                <w:sz w:val="20"/>
              </w:rPr>
            </w:pPr>
            <w:r>
              <w:rPr>
                <w:sz w:val="20"/>
                <w:lang w:val="cy-GB"/>
              </w:rPr>
              <w:t>0.7%</w:t>
            </w:r>
          </w:p>
        </w:tc>
      </w:tr>
      <w:tr w:rsidR="00CE0C3D" w14:paraId="673E5674" w14:textId="77777777">
        <w:trPr>
          <w:trHeight w:val="690"/>
        </w:trPr>
        <w:tc>
          <w:tcPr>
            <w:tcW w:w="1822" w:type="dxa"/>
          </w:tcPr>
          <w:p w14:paraId="2970FDF8" w14:textId="13F0D7CE" w:rsidR="00951A8E" w:rsidRDefault="00F720AC">
            <w:pPr>
              <w:pStyle w:val="TableParagraph"/>
              <w:tabs>
                <w:tab w:val="left" w:pos="1199"/>
              </w:tabs>
              <w:rPr>
                <w:sz w:val="20"/>
              </w:rPr>
            </w:pPr>
            <w:r>
              <w:rPr>
                <w:sz w:val="20"/>
                <w:lang w:val="cy-GB"/>
              </w:rPr>
              <w:t xml:space="preserve">Marshall </w:t>
            </w:r>
            <w:r>
              <w:rPr>
                <w:sz w:val="20"/>
                <w:lang w:val="cy-GB"/>
              </w:rPr>
              <w:t>Wace</w:t>
            </w:r>
          </w:p>
          <w:p w14:paraId="6ECBCCDC" w14:textId="77777777" w:rsidR="00951A8E" w:rsidRDefault="00F720AC">
            <w:pPr>
              <w:pStyle w:val="TableParagraph"/>
              <w:spacing w:line="228" w:lineRule="exact"/>
              <w:ind w:right="100"/>
              <w:rPr>
                <w:sz w:val="20"/>
              </w:rPr>
            </w:pPr>
            <w:r>
              <w:rPr>
                <w:sz w:val="20"/>
                <w:lang w:val="cy-GB"/>
              </w:rPr>
              <w:t>Tops Fund Class A GBP Series</w:t>
            </w:r>
          </w:p>
        </w:tc>
        <w:tc>
          <w:tcPr>
            <w:tcW w:w="1798" w:type="dxa"/>
          </w:tcPr>
          <w:p w14:paraId="1B7F15DA" w14:textId="77777777" w:rsidR="00951A8E" w:rsidRDefault="00F720AC">
            <w:pPr>
              <w:pStyle w:val="TableParagraph"/>
              <w:rPr>
                <w:sz w:val="20"/>
              </w:rPr>
            </w:pPr>
            <w:r>
              <w:rPr>
                <w:sz w:val="20"/>
                <w:lang w:val="cy-GB"/>
              </w:rPr>
              <w:t>3,994</w:t>
            </w:r>
          </w:p>
        </w:tc>
        <w:tc>
          <w:tcPr>
            <w:tcW w:w="1796" w:type="dxa"/>
          </w:tcPr>
          <w:p w14:paraId="7575FE78" w14:textId="77777777" w:rsidR="00951A8E" w:rsidRDefault="00F720AC">
            <w:pPr>
              <w:pStyle w:val="TableParagraph"/>
              <w:rPr>
                <w:sz w:val="20"/>
              </w:rPr>
            </w:pPr>
            <w:r>
              <w:rPr>
                <w:sz w:val="20"/>
                <w:lang w:val="cy-GB"/>
              </w:rPr>
              <w:t>73.0%</w:t>
            </w:r>
          </w:p>
        </w:tc>
        <w:tc>
          <w:tcPr>
            <w:tcW w:w="1801" w:type="dxa"/>
          </w:tcPr>
          <w:p w14:paraId="4AB03D3A" w14:textId="77777777" w:rsidR="00951A8E" w:rsidRDefault="00F720AC">
            <w:pPr>
              <w:pStyle w:val="TableParagraph"/>
              <w:ind w:left="106"/>
              <w:rPr>
                <w:sz w:val="20"/>
              </w:rPr>
            </w:pPr>
            <w:r>
              <w:rPr>
                <w:sz w:val="20"/>
                <w:lang w:val="cy-GB"/>
              </w:rPr>
              <w:t>9.0%</w:t>
            </w:r>
          </w:p>
        </w:tc>
        <w:tc>
          <w:tcPr>
            <w:tcW w:w="1803" w:type="dxa"/>
          </w:tcPr>
          <w:p w14:paraId="6629A8D1" w14:textId="77777777" w:rsidR="00951A8E" w:rsidRDefault="00F720AC">
            <w:pPr>
              <w:pStyle w:val="TableParagraph"/>
              <w:ind w:left="105"/>
              <w:rPr>
                <w:sz w:val="20"/>
              </w:rPr>
            </w:pPr>
            <w:r>
              <w:rPr>
                <w:sz w:val="20"/>
                <w:lang w:val="cy-GB"/>
              </w:rPr>
              <w:t>27.0%</w:t>
            </w:r>
          </w:p>
        </w:tc>
      </w:tr>
    </w:tbl>
    <w:p w14:paraId="5D879BFF" w14:textId="77777777" w:rsidR="00951A8E" w:rsidRDefault="00F720AC">
      <w:pPr>
        <w:spacing w:before="2"/>
        <w:ind w:left="120"/>
        <w:rPr>
          <w:i/>
          <w:sz w:val="16"/>
        </w:rPr>
      </w:pPr>
      <w:r>
        <w:rPr>
          <w:i/>
          <w:iCs/>
          <w:sz w:val="16"/>
          <w:lang w:val="cy-GB"/>
        </w:rPr>
        <w:t>Ffynhonnell: Rheolwyr</w:t>
      </w:r>
    </w:p>
    <w:sectPr w:rsidR="00951A8E">
      <w:pgSz w:w="11910" w:h="16840"/>
      <w:pgMar w:top="13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C60D5"/>
    <w:multiLevelType w:val="hybridMultilevel"/>
    <w:tmpl w:val="35A8C0A8"/>
    <w:lvl w:ilvl="0" w:tplc="3D8CA3BC">
      <w:start w:val="1"/>
      <w:numFmt w:val="decimal"/>
      <w:lvlText w:val="%1)"/>
      <w:lvlJc w:val="left"/>
      <w:pPr>
        <w:ind w:left="839" w:hanging="361"/>
        <w:jc w:val="left"/>
      </w:pPr>
      <w:rPr>
        <w:rFonts w:ascii="Arial" w:eastAsia="Arial" w:hAnsi="Arial" w:cs="Arial" w:hint="default"/>
        <w:b w:val="0"/>
        <w:bCs w:val="0"/>
        <w:i w:val="0"/>
        <w:iCs w:val="0"/>
        <w:spacing w:val="-1"/>
        <w:w w:val="99"/>
        <w:sz w:val="20"/>
        <w:szCs w:val="20"/>
        <w:lang w:val="en-US" w:eastAsia="en-US" w:bidi="ar-SA"/>
      </w:rPr>
    </w:lvl>
    <w:lvl w:ilvl="1" w:tplc="03ECC8F6">
      <w:numFmt w:val="bullet"/>
      <w:lvlText w:val="•"/>
      <w:lvlJc w:val="left"/>
      <w:pPr>
        <w:ind w:left="1682" w:hanging="361"/>
      </w:pPr>
      <w:rPr>
        <w:rFonts w:hint="default"/>
        <w:lang w:val="en-US" w:eastAsia="en-US" w:bidi="ar-SA"/>
      </w:rPr>
    </w:lvl>
    <w:lvl w:ilvl="2" w:tplc="241C94E4">
      <w:numFmt w:val="bullet"/>
      <w:lvlText w:val="•"/>
      <w:lvlJc w:val="left"/>
      <w:pPr>
        <w:ind w:left="2525" w:hanging="361"/>
      </w:pPr>
      <w:rPr>
        <w:rFonts w:hint="default"/>
        <w:lang w:val="en-US" w:eastAsia="en-US" w:bidi="ar-SA"/>
      </w:rPr>
    </w:lvl>
    <w:lvl w:ilvl="3" w:tplc="8818685E">
      <w:numFmt w:val="bullet"/>
      <w:lvlText w:val="•"/>
      <w:lvlJc w:val="left"/>
      <w:pPr>
        <w:ind w:left="3367" w:hanging="361"/>
      </w:pPr>
      <w:rPr>
        <w:rFonts w:hint="default"/>
        <w:lang w:val="en-US" w:eastAsia="en-US" w:bidi="ar-SA"/>
      </w:rPr>
    </w:lvl>
    <w:lvl w:ilvl="4" w:tplc="35FC4B44">
      <w:numFmt w:val="bullet"/>
      <w:lvlText w:val="•"/>
      <w:lvlJc w:val="left"/>
      <w:pPr>
        <w:ind w:left="4210" w:hanging="361"/>
      </w:pPr>
      <w:rPr>
        <w:rFonts w:hint="default"/>
        <w:lang w:val="en-US" w:eastAsia="en-US" w:bidi="ar-SA"/>
      </w:rPr>
    </w:lvl>
    <w:lvl w:ilvl="5" w:tplc="FD58DB30">
      <w:numFmt w:val="bullet"/>
      <w:lvlText w:val="•"/>
      <w:lvlJc w:val="left"/>
      <w:pPr>
        <w:ind w:left="5053" w:hanging="361"/>
      </w:pPr>
      <w:rPr>
        <w:rFonts w:hint="default"/>
        <w:lang w:val="en-US" w:eastAsia="en-US" w:bidi="ar-SA"/>
      </w:rPr>
    </w:lvl>
    <w:lvl w:ilvl="6" w:tplc="5150EA9A">
      <w:numFmt w:val="bullet"/>
      <w:lvlText w:val="•"/>
      <w:lvlJc w:val="left"/>
      <w:pPr>
        <w:ind w:left="5895" w:hanging="361"/>
      </w:pPr>
      <w:rPr>
        <w:rFonts w:hint="default"/>
        <w:lang w:val="en-US" w:eastAsia="en-US" w:bidi="ar-SA"/>
      </w:rPr>
    </w:lvl>
    <w:lvl w:ilvl="7" w:tplc="C6B6BC4E">
      <w:numFmt w:val="bullet"/>
      <w:lvlText w:val="•"/>
      <w:lvlJc w:val="left"/>
      <w:pPr>
        <w:ind w:left="6738" w:hanging="361"/>
      </w:pPr>
      <w:rPr>
        <w:rFonts w:hint="default"/>
        <w:lang w:val="en-US" w:eastAsia="en-US" w:bidi="ar-SA"/>
      </w:rPr>
    </w:lvl>
    <w:lvl w:ilvl="8" w:tplc="822C446A">
      <w:numFmt w:val="bullet"/>
      <w:lvlText w:val="•"/>
      <w:lvlJc w:val="left"/>
      <w:pPr>
        <w:ind w:left="7581" w:hanging="361"/>
      </w:pPr>
      <w:rPr>
        <w:rFonts w:hint="default"/>
        <w:lang w:val="en-US" w:eastAsia="en-US" w:bidi="ar-SA"/>
      </w:rPr>
    </w:lvl>
  </w:abstractNum>
  <w:abstractNum w:abstractNumId="1" w15:restartNumberingAfterBreak="0">
    <w:nsid w:val="1DDB0A7D"/>
    <w:multiLevelType w:val="hybridMultilevel"/>
    <w:tmpl w:val="2286B25C"/>
    <w:lvl w:ilvl="0" w:tplc="363016B0">
      <w:start w:val="1"/>
      <w:numFmt w:val="decimal"/>
      <w:lvlText w:val="%1."/>
      <w:lvlJc w:val="left"/>
      <w:pPr>
        <w:ind w:left="546" w:hanging="360"/>
        <w:jc w:val="left"/>
      </w:pPr>
      <w:rPr>
        <w:rFonts w:ascii="Arial" w:eastAsia="Arial" w:hAnsi="Arial" w:cs="Arial" w:hint="default"/>
        <w:b w:val="0"/>
        <w:bCs w:val="0"/>
        <w:i w:val="0"/>
        <w:iCs w:val="0"/>
        <w:spacing w:val="-1"/>
        <w:w w:val="99"/>
        <w:sz w:val="20"/>
        <w:szCs w:val="20"/>
        <w:lang w:val="en-US" w:eastAsia="en-US" w:bidi="ar-SA"/>
      </w:rPr>
    </w:lvl>
    <w:lvl w:ilvl="1" w:tplc="E124DA1A">
      <w:numFmt w:val="bullet"/>
      <w:lvlText w:val="▪"/>
      <w:lvlJc w:val="left"/>
      <w:pPr>
        <w:ind w:left="118" w:hanging="360"/>
      </w:pPr>
      <w:rPr>
        <w:rFonts w:ascii="Arial" w:eastAsia="Arial" w:hAnsi="Arial" w:cs="Arial" w:hint="default"/>
        <w:b w:val="0"/>
        <w:bCs w:val="0"/>
        <w:i w:val="0"/>
        <w:iCs w:val="0"/>
        <w:w w:val="99"/>
        <w:sz w:val="20"/>
        <w:szCs w:val="20"/>
        <w:lang w:val="en-US" w:eastAsia="en-US" w:bidi="ar-SA"/>
      </w:rPr>
    </w:lvl>
    <w:lvl w:ilvl="2" w:tplc="B48604B0">
      <w:numFmt w:val="bullet"/>
      <w:lvlText w:val="–"/>
      <w:lvlJc w:val="left"/>
      <w:pPr>
        <w:ind w:left="459" w:hanging="171"/>
      </w:pPr>
      <w:rPr>
        <w:rFonts w:ascii="Arial" w:eastAsia="Arial" w:hAnsi="Arial" w:cs="Arial" w:hint="default"/>
        <w:b w:val="0"/>
        <w:bCs w:val="0"/>
        <w:i w:val="0"/>
        <w:iCs w:val="0"/>
        <w:w w:val="99"/>
        <w:sz w:val="20"/>
        <w:szCs w:val="20"/>
        <w:lang w:val="en-US" w:eastAsia="en-US" w:bidi="ar-SA"/>
      </w:rPr>
    </w:lvl>
    <w:lvl w:ilvl="3" w:tplc="23D870FE">
      <w:numFmt w:val="bullet"/>
      <w:lvlText w:val="•"/>
      <w:lvlJc w:val="left"/>
      <w:pPr>
        <w:ind w:left="1630" w:hanging="171"/>
      </w:pPr>
      <w:rPr>
        <w:rFonts w:hint="default"/>
        <w:lang w:val="en-US" w:eastAsia="en-US" w:bidi="ar-SA"/>
      </w:rPr>
    </w:lvl>
    <w:lvl w:ilvl="4" w:tplc="3DFC61E0">
      <w:numFmt w:val="bullet"/>
      <w:lvlText w:val="•"/>
      <w:lvlJc w:val="left"/>
      <w:pPr>
        <w:ind w:left="2721" w:hanging="171"/>
      </w:pPr>
      <w:rPr>
        <w:rFonts w:hint="default"/>
        <w:lang w:val="en-US" w:eastAsia="en-US" w:bidi="ar-SA"/>
      </w:rPr>
    </w:lvl>
    <w:lvl w:ilvl="5" w:tplc="61DE1080">
      <w:numFmt w:val="bullet"/>
      <w:lvlText w:val="•"/>
      <w:lvlJc w:val="left"/>
      <w:pPr>
        <w:ind w:left="3812" w:hanging="171"/>
      </w:pPr>
      <w:rPr>
        <w:rFonts w:hint="default"/>
        <w:lang w:val="en-US" w:eastAsia="en-US" w:bidi="ar-SA"/>
      </w:rPr>
    </w:lvl>
    <w:lvl w:ilvl="6" w:tplc="4D0645BC">
      <w:numFmt w:val="bullet"/>
      <w:lvlText w:val="•"/>
      <w:lvlJc w:val="left"/>
      <w:pPr>
        <w:ind w:left="4903" w:hanging="171"/>
      </w:pPr>
      <w:rPr>
        <w:rFonts w:hint="default"/>
        <w:lang w:val="en-US" w:eastAsia="en-US" w:bidi="ar-SA"/>
      </w:rPr>
    </w:lvl>
    <w:lvl w:ilvl="7" w:tplc="C4D46B30">
      <w:numFmt w:val="bullet"/>
      <w:lvlText w:val="•"/>
      <w:lvlJc w:val="left"/>
      <w:pPr>
        <w:ind w:left="5994" w:hanging="171"/>
      </w:pPr>
      <w:rPr>
        <w:rFonts w:hint="default"/>
        <w:lang w:val="en-US" w:eastAsia="en-US" w:bidi="ar-SA"/>
      </w:rPr>
    </w:lvl>
    <w:lvl w:ilvl="8" w:tplc="905CA7AE">
      <w:numFmt w:val="bullet"/>
      <w:lvlText w:val="•"/>
      <w:lvlJc w:val="left"/>
      <w:pPr>
        <w:ind w:left="7084" w:hanging="171"/>
      </w:pPr>
      <w:rPr>
        <w:rFonts w:hint="default"/>
        <w:lang w:val="en-US" w:eastAsia="en-US" w:bidi="ar-SA"/>
      </w:rPr>
    </w:lvl>
  </w:abstractNum>
  <w:abstractNum w:abstractNumId="2" w15:restartNumberingAfterBreak="0">
    <w:nsid w:val="1FB51922"/>
    <w:multiLevelType w:val="hybridMultilevel"/>
    <w:tmpl w:val="E35CE52E"/>
    <w:lvl w:ilvl="0" w:tplc="E8A83770">
      <w:start w:val="1"/>
      <w:numFmt w:val="decimal"/>
      <w:lvlText w:val="%1."/>
      <w:lvlJc w:val="left"/>
      <w:pPr>
        <w:ind w:left="839" w:hanging="360"/>
        <w:jc w:val="left"/>
      </w:pPr>
      <w:rPr>
        <w:rFonts w:ascii="Arial" w:eastAsia="Arial" w:hAnsi="Arial" w:cs="Arial" w:hint="default"/>
        <w:b w:val="0"/>
        <w:bCs w:val="0"/>
        <w:i w:val="0"/>
        <w:iCs w:val="0"/>
        <w:spacing w:val="-1"/>
        <w:w w:val="99"/>
        <w:sz w:val="20"/>
        <w:szCs w:val="20"/>
        <w:lang w:val="en-US" w:eastAsia="en-US" w:bidi="ar-SA"/>
      </w:rPr>
    </w:lvl>
    <w:lvl w:ilvl="1" w:tplc="3B0C8DD6">
      <w:numFmt w:val="bullet"/>
      <w:lvlText w:val="•"/>
      <w:lvlJc w:val="left"/>
      <w:pPr>
        <w:ind w:left="1682" w:hanging="360"/>
      </w:pPr>
      <w:rPr>
        <w:rFonts w:hint="default"/>
        <w:lang w:val="en-US" w:eastAsia="en-US" w:bidi="ar-SA"/>
      </w:rPr>
    </w:lvl>
    <w:lvl w:ilvl="2" w:tplc="DFA0BC98">
      <w:numFmt w:val="bullet"/>
      <w:lvlText w:val="•"/>
      <w:lvlJc w:val="left"/>
      <w:pPr>
        <w:ind w:left="2525" w:hanging="360"/>
      </w:pPr>
      <w:rPr>
        <w:rFonts w:hint="default"/>
        <w:lang w:val="en-US" w:eastAsia="en-US" w:bidi="ar-SA"/>
      </w:rPr>
    </w:lvl>
    <w:lvl w:ilvl="3" w:tplc="95D8E2E2">
      <w:numFmt w:val="bullet"/>
      <w:lvlText w:val="•"/>
      <w:lvlJc w:val="left"/>
      <w:pPr>
        <w:ind w:left="3367" w:hanging="360"/>
      </w:pPr>
      <w:rPr>
        <w:rFonts w:hint="default"/>
        <w:lang w:val="en-US" w:eastAsia="en-US" w:bidi="ar-SA"/>
      </w:rPr>
    </w:lvl>
    <w:lvl w:ilvl="4" w:tplc="9EEC4120">
      <w:numFmt w:val="bullet"/>
      <w:lvlText w:val="•"/>
      <w:lvlJc w:val="left"/>
      <w:pPr>
        <w:ind w:left="4210" w:hanging="360"/>
      </w:pPr>
      <w:rPr>
        <w:rFonts w:hint="default"/>
        <w:lang w:val="en-US" w:eastAsia="en-US" w:bidi="ar-SA"/>
      </w:rPr>
    </w:lvl>
    <w:lvl w:ilvl="5" w:tplc="F308109A">
      <w:numFmt w:val="bullet"/>
      <w:lvlText w:val="•"/>
      <w:lvlJc w:val="left"/>
      <w:pPr>
        <w:ind w:left="5053" w:hanging="360"/>
      </w:pPr>
      <w:rPr>
        <w:rFonts w:hint="default"/>
        <w:lang w:val="en-US" w:eastAsia="en-US" w:bidi="ar-SA"/>
      </w:rPr>
    </w:lvl>
    <w:lvl w:ilvl="6" w:tplc="21AE585E">
      <w:numFmt w:val="bullet"/>
      <w:lvlText w:val="•"/>
      <w:lvlJc w:val="left"/>
      <w:pPr>
        <w:ind w:left="5895" w:hanging="360"/>
      </w:pPr>
      <w:rPr>
        <w:rFonts w:hint="default"/>
        <w:lang w:val="en-US" w:eastAsia="en-US" w:bidi="ar-SA"/>
      </w:rPr>
    </w:lvl>
    <w:lvl w:ilvl="7" w:tplc="63A42112">
      <w:numFmt w:val="bullet"/>
      <w:lvlText w:val="•"/>
      <w:lvlJc w:val="left"/>
      <w:pPr>
        <w:ind w:left="6738" w:hanging="360"/>
      </w:pPr>
      <w:rPr>
        <w:rFonts w:hint="default"/>
        <w:lang w:val="en-US" w:eastAsia="en-US" w:bidi="ar-SA"/>
      </w:rPr>
    </w:lvl>
    <w:lvl w:ilvl="8" w:tplc="17244646">
      <w:numFmt w:val="bullet"/>
      <w:lvlText w:val="•"/>
      <w:lvlJc w:val="left"/>
      <w:pPr>
        <w:ind w:left="7581" w:hanging="360"/>
      </w:pPr>
      <w:rPr>
        <w:rFonts w:hint="default"/>
        <w:lang w:val="en-US" w:eastAsia="en-US" w:bidi="ar-SA"/>
      </w:rPr>
    </w:lvl>
  </w:abstractNum>
  <w:abstractNum w:abstractNumId="3" w15:restartNumberingAfterBreak="0">
    <w:nsid w:val="22461771"/>
    <w:multiLevelType w:val="hybridMultilevel"/>
    <w:tmpl w:val="02D64C58"/>
    <w:lvl w:ilvl="0" w:tplc="0E809F2E">
      <w:start w:val="1"/>
      <w:numFmt w:val="decimal"/>
      <w:lvlText w:val="%1."/>
      <w:lvlJc w:val="left"/>
      <w:pPr>
        <w:ind w:left="839" w:hanging="360"/>
        <w:jc w:val="left"/>
      </w:pPr>
      <w:rPr>
        <w:rFonts w:ascii="Arial" w:eastAsia="Arial" w:hAnsi="Arial" w:cs="Arial" w:hint="default"/>
        <w:b w:val="0"/>
        <w:bCs w:val="0"/>
        <w:i w:val="0"/>
        <w:iCs w:val="0"/>
        <w:spacing w:val="-1"/>
        <w:w w:val="99"/>
        <w:sz w:val="20"/>
        <w:szCs w:val="20"/>
        <w:lang w:val="en-US" w:eastAsia="en-US" w:bidi="ar-SA"/>
      </w:rPr>
    </w:lvl>
    <w:lvl w:ilvl="1" w:tplc="2132F362">
      <w:numFmt w:val="bullet"/>
      <w:lvlText w:val="•"/>
      <w:lvlJc w:val="left"/>
      <w:pPr>
        <w:ind w:left="1682" w:hanging="360"/>
      </w:pPr>
      <w:rPr>
        <w:rFonts w:hint="default"/>
        <w:lang w:val="en-US" w:eastAsia="en-US" w:bidi="ar-SA"/>
      </w:rPr>
    </w:lvl>
    <w:lvl w:ilvl="2" w:tplc="99524A4A">
      <w:numFmt w:val="bullet"/>
      <w:lvlText w:val="•"/>
      <w:lvlJc w:val="left"/>
      <w:pPr>
        <w:ind w:left="2525" w:hanging="360"/>
      </w:pPr>
      <w:rPr>
        <w:rFonts w:hint="default"/>
        <w:lang w:val="en-US" w:eastAsia="en-US" w:bidi="ar-SA"/>
      </w:rPr>
    </w:lvl>
    <w:lvl w:ilvl="3" w:tplc="60C6ED5A">
      <w:numFmt w:val="bullet"/>
      <w:lvlText w:val="•"/>
      <w:lvlJc w:val="left"/>
      <w:pPr>
        <w:ind w:left="3367" w:hanging="360"/>
      </w:pPr>
      <w:rPr>
        <w:rFonts w:hint="default"/>
        <w:lang w:val="en-US" w:eastAsia="en-US" w:bidi="ar-SA"/>
      </w:rPr>
    </w:lvl>
    <w:lvl w:ilvl="4" w:tplc="51ACB304">
      <w:numFmt w:val="bullet"/>
      <w:lvlText w:val="•"/>
      <w:lvlJc w:val="left"/>
      <w:pPr>
        <w:ind w:left="4210" w:hanging="360"/>
      </w:pPr>
      <w:rPr>
        <w:rFonts w:hint="default"/>
        <w:lang w:val="en-US" w:eastAsia="en-US" w:bidi="ar-SA"/>
      </w:rPr>
    </w:lvl>
    <w:lvl w:ilvl="5" w:tplc="1DF6DFB4">
      <w:numFmt w:val="bullet"/>
      <w:lvlText w:val="•"/>
      <w:lvlJc w:val="left"/>
      <w:pPr>
        <w:ind w:left="5053" w:hanging="360"/>
      </w:pPr>
      <w:rPr>
        <w:rFonts w:hint="default"/>
        <w:lang w:val="en-US" w:eastAsia="en-US" w:bidi="ar-SA"/>
      </w:rPr>
    </w:lvl>
    <w:lvl w:ilvl="6" w:tplc="AF641CB0">
      <w:numFmt w:val="bullet"/>
      <w:lvlText w:val="•"/>
      <w:lvlJc w:val="left"/>
      <w:pPr>
        <w:ind w:left="5895" w:hanging="360"/>
      </w:pPr>
      <w:rPr>
        <w:rFonts w:hint="default"/>
        <w:lang w:val="en-US" w:eastAsia="en-US" w:bidi="ar-SA"/>
      </w:rPr>
    </w:lvl>
    <w:lvl w:ilvl="7" w:tplc="11A89DF2">
      <w:numFmt w:val="bullet"/>
      <w:lvlText w:val="•"/>
      <w:lvlJc w:val="left"/>
      <w:pPr>
        <w:ind w:left="6738" w:hanging="360"/>
      </w:pPr>
      <w:rPr>
        <w:rFonts w:hint="default"/>
        <w:lang w:val="en-US" w:eastAsia="en-US" w:bidi="ar-SA"/>
      </w:rPr>
    </w:lvl>
    <w:lvl w:ilvl="8" w:tplc="E76A7A1A">
      <w:numFmt w:val="bullet"/>
      <w:lvlText w:val="•"/>
      <w:lvlJc w:val="left"/>
      <w:pPr>
        <w:ind w:left="7581" w:hanging="360"/>
      </w:pPr>
      <w:rPr>
        <w:rFonts w:hint="default"/>
        <w:lang w:val="en-US" w:eastAsia="en-US" w:bidi="ar-SA"/>
      </w:rPr>
    </w:lvl>
  </w:abstractNum>
  <w:abstractNum w:abstractNumId="4" w15:restartNumberingAfterBreak="0">
    <w:nsid w:val="26037638"/>
    <w:multiLevelType w:val="hybridMultilevel"/>
    <w:tmpl w:val="2626C57A"/>
    <w:lvl w:ilvl="0" w:tplc="77521064">
      <w:start w:val="1"/>
      <w:numFmt w:val="decimal"/>
      <w:lvlText w:val="%1)"/>
      <w:lvlJc w:val="left"/>
      <w:pPr>
        <w:ind w:left="840" w:hanging="361"/>
        <w:jc w:val="left"/>
      </w:pPr>
      <w:rPr>
        <w:rFonts w:ascii="Arial" w:eastAsia="Arial" w:hAnsi="Arial" w:cs="Arial" w:hint="default"/>
        <w:b w:val="0"/>
        <w:bCs w:val="0"/>
        <w:i w:val="0"/>
        <w:iCs w:val="0"/>
        <w:spacing w:val="-1"/>
        <w:w w:val="99"/>
        <w:sz w:val="20"/>
        <w:szCs w:val="20"/>
        <w:lang w:val="en-US" w:eastAsia="en-US" w:bidi="ar-SA"/>
      </w:rPr>
    </w:lvl>
    <w:lvl w:ilvl="1" w:tplc="4B2C4B20">
      <w:numFmt w:val="bullet"/>
      <w:lvlText w:val="•"/>
      <w:lvlJc w:val="left"/>
      <w:pPr>
        <w:ind w:left="1682" w:hanging="361"/>
      </w:pPr>
      <w:rPr>
        <w:rFonts w:hint="default"/>
        <w:lang w:val="en-US" w:eastAsia="en-US" w:bidi="ar-SA"/>
      </w:rPr>
    </w:lvl>
    <w:lvl w:ilvl="2" w:tplc="7854B9A2">
      <w:numFmt w:val="bullet"/>
      <w:lvlText w:val="•"/>
      <w:lvlJc w:val="left"/>
      <w:pPr>
        <w:ind w:left="2525" w:hanging="361"/>
      </w:pPr>
      <w:rPr>
        <w:rFonts w:hint="default"/>
        <w:lang w:val="en-US" w:eastAsia="en-US" w:bidi="ar-SA"/>
      </w:rPr>
    </w:lvl>
    <w:lvl w:ilvl="3" w:tplc="EEAE3958">
      <w:numFmt w:val="bullet"/>
      <w:lvlText w:val="•"/>
      <w:lvlJc w:val="left"/>
      <w:pPr>
        <w:ind w:left="3367" w:hanging="361"/>
      </w:pPr>
      <w:rPr>
        <w:rFonts w:hint="default"/>
        <w:lang w:val="en-US" w:eastAsia="en-US" w:bidi="ar-SA"/>
      </w:rPr>
    </w:lvl>
    <w:lvl w:ilvl="4" w:tplc="3E0E2DB6">
      <w:numFmt w:val="bullet"/>
      <w:lvlText w:val="•"/>
      <w:lvlJc w:val="left"/>
      <w:pPr>
        <w:ind w:left="4210" w:hanging="361"/>
      </w:pPr>
      <w:rPr>
        <w:rFonts w:hint="default"/>
        <w:lang w:val="en-US" w:eastAsia="en-US" w:bidi="ar-SA"/>
      </w:rPr>
    </w:lvl>
    <w:lvl w:ilvl="5" w:tplc="2AB6E94E">
      <w:numFmt w:val="bullet"/>
      <w:lvlText w:val="•"/>
      <w:lvlJc w:val="left"/>
      <w:pPr>
        <w:ind w:left="5053" w:hanging="361"/>
      </w:pPr>
      <w:rPr>
        <w:rFonts w:hint="default"/>
        <w:lang w:val="en-US" w:eastAsia="en-US" w:bidi="ar-SA"/>
      </w:rPr>
    </w:lvl>
    <w:lvl w:ilvl="6" w:tplc="F1388DC8">
      <w:numFmt w:val="bullet"/>
      <w:lvlText w:val="•"/>
      <w:lvlJc w:val="left"/>
      <w:pPr>
        <w:ind w:left="5895" w:hanging="361"/>
      </w:pPr>
      <w:rPr>
        <w:rFonts w:hint="default"/>
        <w:lang w:val="en-US" w:eastAsia="en-US" w:bidi="ar-SA"/>
      </w:rPr>
    </w:lvl>
    <w:lvl w:ilvl="7" w:tplc="B7D8828E">
      <w:numFmt w:val="bullet"/>
      <w:lvlText w:val="•"/>
      <w:lvlJc w:val="left"/>
      <w:pPr>
        <w:ind w:left="6738" w:hanging="361"/>
      </w:pPr>
      <w:rPr>
        <w:rFonts w:hint="default"/>
        <w:lang w:val="en-US" w:eastAsia="en-US" w:bidi="ar-SA"/>
      </w:rPr>
    </w:lvl>
    <w:lvl w:ilvl="8" w:tplc="F8C08CB0">
      <w:numFmt w:val="bullet"/>
      <w:lvlText w:val="•"/>
      <w:lvlJc w:val="left"/>
      <w:pPr>
        <w:ind w:left="7581" w:hanging="361"/>
      </w:pPr>
      <w:rPr>
        <w:rFonts w:hint="default"/>
        <w:lang w:val="en-US" w:eastAsia="en-US" w:bidi="ar-SA"/>
      </w:rPr>
    </w:lvl>
  </w:abstractNum>
  <w:abstractNum w:abstractNumId="5" w15:restartNumberingAfterBreak="0">
    <w:nsid w:val="58AA32B7"/>
    <w:multiLevelType w:val="hybridMultilevel"/>
    <w:tmpl w:val="8F46D178"/>
    <w:lvl w:ilvl="0" w:tplc="42D65EDC">
      <w:numFmt w:val="bullet"/>
      <w:lvlText w:val="•"/>
      <w:lvlJc w:val="left"/>
      <w:pPr>
        <w:ind w:left="479" w:hanging="360"/>
      </w:pPr>
      <w:rPr>
        <w:rFonts w:ascii="Arial" w:eastAsia="Arial" w:hAnsi="Arial" w:cs="Arial" w:hint="default"/>
        <w:b w:val="0"/>
        <w:bCs w:val="0"/>
        <w:i w:val="0"/>
        <w:iCs w:val="0"/>
        <w:w w:val="99"/>
        <w:sz w:val="20"/>
        <w:szCs w:val="20"/>
        <w:lang w:val="en-US" w:eastAsia="en-US" w:bidi="ar-SA"/>
      </w:rPr>
    </w:lvl>
    <w:lvl w:ilvl="1" w:tplc="95963E40">
      <w:numFmt w:val="bullet"/>
      <w:lvlText w:val="•"/>
      <w:lvlJc w:val="left"/>
      <w:pPr>
        <w:ind w:left="1358" w:hanging="360"/>
      </w:pPr>
      <w:rPr>
        <w:rFonts w:hint="default"/>
        <w:lang w:val="en-US" w:eastAsia="en-US" w:bidi="ar-SA"/>
      </w:rPr>
    </w:lvl>
    <w:lvl w:ilvl="2" w:tplc="6F6AC8B6">
      <w:numFmt w:val="bullet"/>
      <w:lvlText w:val="•"/>
      <w:lvlJc w:val="left"/>
      <w:pPr>
        <w:ind w:left="2237" w:hanging="360"/>
      </w:pPr>
      <w:rPr>
        <w:rFonts w:hint="default"/>
        <w:lang w:val="en-US" w:eastAsia="en-US" w:bidi="ar-SA"/>
      </w:rPr>
    </w:lvl>
    <w:lvl w:ilvl="3" w:tplc="8398D9D4">
      <w:numFmt w:val="bullet"/>
      <w:lvlText w:val="•"/>
      <w:lvlJc w:val="left"/>
      <w:pPr>
        <w:ind w:left="3115" w:hanging="360"/>
      </w:pPr>
      <w:rPr>
        <w:rFonts w:hint="default"/>
        <w:lang w:val="en-US" w:eastAsia="en-US" w:bidi="ar-SA"/>
      </w:rPr>
    </w:lvl>
    <w:lvl w:ilvl="4" w:tplc="378EC3E8">
      <w:numFmt w:val="bullet"/>
      <w:lvlText w:val="•"/>
      <w:lvlJc w:val="left"/>
      <w:pPr>
        <w:ind w:left="3994" w:hanging="360"/>
      </w:pPr>
      <w:rPr>
        <w:rFonts w:hint="default"/>
        <w:lang w:val="en-US" w:eastAsia="en-US" w:bidi="ar-SA"/>
      </w:rPr>
    </w:lvl>
    <w:lvl w:ilvl="5" w:tplc="5718C790">
      <w:numFmt w:val="bullet"/>
      <w:lvlText w:val="•"/>
      <w:lvlJc w:val="left"/>
      <w:pPr>
        <w:ind w:left="4873" w:hanging="360"/>
      </w:pPr>
      <w:rPr>
        <w:rFonts w:hint="default"/>
        <w:lang w:val="en-US" w:eastAsia="en-US" w:bidi="ar-SA"/>
      </w:rPr>
    </w:lvl>
    <w:lvl w:ilvl="6" w:tplc="72F20D84">
      <w:numFmt w:val="bullet"/>
      <w:lvlText w:val="•"/>
      <w:lvlJc w:val="left"/>
      <w:pPr>
        <w:ind w:left="5751" w:hanging="360"/>
      </w:pPr>
      <w:rPr>
        <w:rFonts w:hint="default"/>
        <w:lang w:val="en-US" w:eastAsia="en-US" w:bidi="ar-SA"/>
      </w:rPr>
    </w:lvl>
    <w:lvl w:ilvl="7" w:tplc="FF087F94">
      <w:numFmt w:val="bullet"/>
      <w:lvlText w:val="•"/>
      <w:lvlJc w:val="left"/>
      <w:pPr>
        <w:ind w:left="6630" w:hanging="360"/>
      </w:pPr>
      <w:rPr>
        <w:rFonts w:hint="default"/>
        <w:lang w:val="en-US" w:eastAsia="en-US" w:bidi="ar-SA"/>
      </w:rPr>
    </w:lvl>
    <w:lvl w:ilvl="8" w:tplc="D6E46510">
      <w:numFmt w:val="bullet"/>
      <w:lvlText w:val="•"/>
      <w:lvlJc w:val="left"/>
      <w:pPr>
        <w:ind w:left="7509" w:hanging="360"/>
      </w:pPr>
      <w:rPr>
        <w:rFonts w:hint="default"/>
        <w:lang w:val="en-US" w:eastAsia="en-US" w:bidi="ar-SA"/>
      </w:rPr>
    </w:lvl>
  </w:abstractNum>
  <w:abstractNum w:abstractNumId="6" w15:restartNumberingAfterBreak="0">
    <w:nsid w:val="763062F9"/>
    <w:multiLevelType w:val="hybridMultilevel"/>
    <w:tmpl w:val="83A49AC6"/>
    <w:lvl w:ilvl="0" w:tplc="2EB65FE2">
      <w:numFmt w:val="bullet"/>
      <w:lvlText w:val="•"/>
      <w:lvlJc w:val="left"/>
      <w:pPr>
        <w:ind w:left="120" w:hanging="720"/>
      </w:pPr>
      <w:rPr>
        <w:rFonts w:ascii="Arial" w:eastAsia="Arial" w:hAnsi="Arial" w:cs="Arial" w:hint="default"/>
        <w:b w:val="0"/>
        <w:bCs w:val="0"/>
        <w:i w:val="0"/>
        <w:iCs w:val="0"/>
        <w:w w:val="99"/>
        <w:sz w:val="20"/>
        <w:szCs w:val="20"/>
        <w:lang w:val="en-US" w:eastAsia="en-US" w:bidi="ar-SA"/>
      </w:rPr>
    </w:lvl>
    <w:lvl w:ilvl="1" w:tplc="ECD086B6">
      <w:numFmt w:val="bullet"/>
      <w:lvlText w:val="•"/>
      <w:lvlJc w:val="left"/>
      <w:pPr>
        <w:ind w:left="1034" w:hanging="720"/>
      </w:pPr>
      <w:rPr>
        <w:rFonts w:hint="default"/>
        <w:lang w:val="en-US" w:eastAsia="en-US" w:bidi="ar-SA"/>
      </w:rPr>
    </w:lvl>
    <w:lvl w:ilvl="2" w:tplc="7A3CCF24">
      <w:numFmt w:val="bullet"/>
      <w:lvlText w:val="•"/>
      <w:lvlJc w:val="left"/>
      <w:pPr>
        <w:ind w:left="1949" w:hanging="720"/>
      </w:pPr>
      <w:rPr>
        <w:rFonts w:hint="default"/>
        <w:lang w:val="en-US" w:eastAsia="en-US" w:bidi="ar-SA"/>
      </w:rPr>
    </w:lvl>
    <w:lvl w:ilvl="3" w:tplc="3388582E">
      <w:numFmt w:val="bullet"/>
      <w:lvlText w:val="•"/>
      <w:lvlJc w:val="left"/>
      <w:pPr>
        <w:ind w:left="2863" w:hanging="720"/>
      </w:pPr>
      <w:rPr>
        <w:rFonts w:hint="default"/>
        <w:lang w:val="en-US" w:eastAsia="en-US" w:bidi="ar-SA"/>
      </w:rPr>
    </w:lvl>
    <w:lvl w:ilvl="4" w:tplc="4AAE4C94">
      <w:numFmt w:val="bullet"/>
      <w:lvlText w:val="•"/>
      <w:lvlJc w:val="left"/>
      <w:pPr>
        <w:ind w:left="3778" w:hanging="720"/>
      </w:pPr>
      <w:rPr>
        <w:rFonts w:hint="default"/>
        <w:lang w:val="en-US" w:eastAsia="en-US" w:bidi="ar-SA"/>
      </w:rPr>
    </w:lvl>
    <w:lvl w:ilvl="5" w:tplc="3B1646D4">
      <w:numFmt w:val="bullet"/>
      <w:lvlText w:val="•"/>
      <w:lvlJc w:val="left"/>
      <w:pPr>
        <w:ind w:left="4693" w:hanging="720"/>
      </w:pPr>
      <w:rPr>
        <w:rFonts w:hint="default"/>
        <w:lang w:val="en-US" w:eastAsia="en-US" w:bidi="ar-SA"/>
      </w:rPr>
    </w:lvl>
    <w:lvl w:ilvl="6" w:tplc="AD5E68C0">
      <w:numFmt w:val="bullet"/>
      <w:lvlText w:val="•"/>
      <w:lvlJc w:val="left"/>
      <w:pPr>
        <w:ind w:left="5607" w:hanging="720"/>
      </w:pPr>
      <w:rPr>
        <w:rFonts w:hint="default"/>
        <w:lang w:val="en-US" w:eastAsia="en-US" w:bidi="ar-SA"/>
      </w:rPr>
    </w:lvl>
    <w:lvl w:ilvl="7" w:tplc="012C3EF2">
      <w:numFmt w:val="bullet"/>
      <w:lvlText w:val="•"/>
      <w:lvlJc w:val="left"/>
      <w:pPr>
        <w:ind w:left="6522" w:hanging="720"/>
      </w:pPr>
      <w:rPr>
        <w:rFonts w:hint="default"/>
        <w:lang w:val="en-US" w:eastAsia="en-US" w:bidi="ar-SA"/>
      </w:rPr>
    </w:lvl>
    <w:lvl w:ilvl="8" w:tplc="2C6C885E">
      <w:numFmt w:val="bullet"/>
      <w:lvlText w:val="•"/>
      <w:lvlJc w:val="left"/>
      <w:pPr>
        <w:ind w:left="7437" w:hanging="720"/>
      </w:pPr>
      <w:rPr>
        <w:rFonts w:hint="default"/>
        <w:lang w:val="en-US" w:eastAsia="en-US" w:bidi="ar-SA"/>
      </w:rPr>
    </w:lvl>
  </w:abstractNum>
  <w:num w:numId="1" w16cid:durableId="557518217">
    <w:abstractNumId w:val="5"/>
  </w:num>
  <w:num w:numId="2" w16cid:durableId="1818569129">
    <w:abstractNumId w:val="2"/>
  </w:num>
  <w:num w:numId="3" w16cid:durableId="373386428">
    <w:abstractNumId w:val="0"/>
  </w:num>
  <w:num w:numId="4" w16cid:durableId="1237474944">
    <w:abstractNumId w:val="3"/>
  </w:num>
  <w:num w:numId="5" w16cid:durableId="1497529093">
    <w:abstractNumId w:val="6"/>
  </w:num>
  <w:num w:numId="6" w16cid:durableId="974718662">
    <w:abstractNumId w:val="4"/>
  </w:num>
  <w:num w:numId="7" w16cid:durableId="1529100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8E"/>
    <w:rsid w:val="006920FA"/>
    <w:rsid w:val="007054BB"/>
    <w:rsid w:val="007152D6"/>
    <w:rsid w:val="007F6899"/>
    <w:rsid w:val="00951A8E"/>
    <w:rsid w:val="009D2611"/>
    <w:rsid w:val="009D5187"/>
    <w:rsid w:val="00CE0C3D"/>
    <w:rsid w:val="00F72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89B8"/>
  <w15:docId w15:val="{CE63B5F6-811E-4F93-A12E-234F1E1B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jc w:val="both"/>
      <w:outlineLvl w:val="0"/>
    </w:pPr>
    <w:rPr>
      <w:b/>
      <w:bCs/>
      <w:sz w:val="24"/>
      <w:szCs w:val="24"/>
    </w:rPr>
  </w:style>
  <w:style w:type="paragraph" w:styleId="Heading2">
    <w:name w:val="heading 2"/>
    <w:basedOn w:val="Normal"/>
    <w:uiPriority w:val="9"/>
    <w:unhideWhenUsed/>
    <w:qFormat/>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pPr>
      <w:spacing w:line="229"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on.com/getmedia/68ad08ad-1772-4765-88d1-ee5bed8282e1/Guide-To-Aons-ESG-Ratings.aspx" TargetMode="External"/><Relationship Id="rId13" Type="http://schemas.openxmlformats.org/officeDocument/2006/relationships/hyperlink" Target="https://www.abrdn.com/docs?editionId=50636955-103f-47cb-86e2-036aec4d30d4&amp;_ga=2.3007792.1084981515.1625754520-1358126225.1625589512" TargetMode="External"/><Relationship Id="rId3" Type="http://schemas.openxmlformats.org/officeDocument/2006/relationships/settings" Target="settings.xml"/><Relationship Id="rId7" Type="http://schemas.openxmlformats.org/officeDocument/2006/relationships/hyperlink" Target="http://www.swansea.ac.uk/finance-swansea-university/pensions/sip-" TargetMode="External"/><Relationship Id="rId12" Type="http://schemas.openxmlformats.org/officeDocument/2006/relationships/hyperlink" Target="https://www.abrdn.com/docs?editionId=50636955-103f-47cb-86e2-036aec4d30d4&amp;_ga=2.3007792.1084981515.1625754520-1358126225.16255895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wansea.ac.uk/finance-swansea-university/pensions/sip-" TargetMode="External"/><Relationship Id="rId11" Type="http://schemas.openxmlformats.org/officeDocument/2006/relationships/hyperlink" Target="https://www.lgim.com/landg-assets/lgim/_document-library/capabilities/lgim-engagement-policy.pdf" TargetMode="External"/><Relationship Id="rId5" Type="http://schemas.openxmlformats.org/officeDocument/2006/relationships/hyperlink" Target="http://www.swansea.ac.uk/finance-swansea-university/pensions/sip-" TargetMode="External"/><Relationship Id="rId15" Type="http://schemas.openxmlformats.org/officeDocument/2006/relationships/hyperlink" Target="https://www.boussard-gavaudan.com/files/upload/Regulatory-disclosure/Engagement_Policy_2020_FINAL.pdf" TargetMode="External"/><Relationship Id="rId10" Type="http://schemas.openxmlformats.org/officeDocument/2006/relationships/hyperlink" Target="https://www.lgim.com/landg-assets/lgim/_document-library/capabilities/lgim-engagement-policy.pdf" TargetMode="External"/><Relationship Id="rId4" Type="http://schemas.openxmlformats.org/officeDocument/2006/relationships/webSettings" Target="webSettings.xml"/><Relationship Id="rId9" Type="http://schemas.openxmlformats.org/officeDocument/2006/relationships/hyperlink" Target="https://www.aon.com/getmedia/68ad08ad-1772-4765-88d1-ee5bed8282e1/Guide-To-Aons-ESG-Ratings.aspx" TargetMode="External"/><Relationship Id="rId14" Type="http://schemas.openxmlformats.org/officeDocument/2006/relationships/hyperlink" Target="https://www.boussard-gavaudan.com/files/upload/Regulatory-disclosure/Engagement_Policy_2020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5840</Words>
  <Characters>33294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kfinnimo (Katherine Finnimore)</dc:creator>
  <cp:lastModifiedBy>Angela Black</cp:lastModifiedBy>
  <cp:revision>3</cp:revision>
  <dcterms:created xsi:type="dcterms:W3CDTF">2023-05-23T09:23:00Z</dcterms:created>
  <dcterms:modified xsi:type="dcterms:W3CDTF">2023-06-09T15:59:00Z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onClassification">
    <vt:lpwstr>ADC_class_200</vt:lpwstr>
  </property>
  <property fmtid="{D5CDD505-2E9C-101B-9397-08002B2CF9AE}" pid="3" name="Created">
    <vt:filetime>2022-11-14T00:00:00Z</vt:filetime>
  </property>
  <property fmtid="{D5CDD505-2E9C-101B-9397-08002B2CF9AE}" pid="4" name="Creator">
    <vt:lpwstr>Acrobat PDFMaker 21 for Word</vt:lpwstr>
  </property>
  <property fmtid="{D5CDD505-2E9C-101B-9397-08002B2CF9AE}" pid="5" name="LastSaved">
    <vt:filetime>2023-05-16T00:00:00Z</vt:filetime>
  </property>
  <property fmtid="{D5CDD505-2E9C-101B-9397-08002B2CF9AE}" pid="6" name="Producer">
    <vt:lpwstr>Adobe PDF Library 21.1.167</vt:lpwstr>
  </property>
  <property fmtid="{D5CDD505-2E9C-101B-9397-08002B2CF9AE}" pid="7" name="SourceModified">
    <vt:lpwstr>D:20221114164842</vt:lpwstr>
  </property>
  <property fmtid="{D5CDD505-2E9C-101B-9397-08002B2CF9AE}" pid="8" name="TitusGUID">
    <vt:lpwstr>322a982d-3b63-4193-90e3-6b304071d028</vt:lpwstr>
  </property>
</Properties>
</file>